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#1</w:t>
      </w:r>
      <w:r>
        <w:rPr>
          <w:rFonts w:hint="eastAsia" w:ascii="Arial" w:hAnsi="Arial" w:cs="Arial"/>
          <w:b/>
          <w:sz w:val="24"/>
          <w:lang w:val="en-US" w:eastAsia="zh-CN"/>
        </w:rPr>
        <w:t>12</w:t>
      </w:r>
      <w:r>
        <w:rPr>
          <w:rFonts w:ascii="Arial" w:hAnsi="Arial" w:eastAsia="MS Mincho"/>
          <w:b/>
          <w:sz w:val="24"/>
        </w:rPr>
        <w:tab/>
      </w:r>
      <w:r>
        <w:rPr>
          <w:rFonts w:ascii="Arial" w:hAnsi="Arial"/>
          <w:b/>
          <w:sz w:val="24"/>
          <w:lang w:eastAsia="zh-CN"/>
        </w:rPr>
        <w:t>R4-2</w:t>
      </w:r>
      <w:r>
        <w:rPr>
          <w:rFonts w:hint="eastAsia" w:ascii="Arial" w:hAnsi="Arial"/>
          <w:b/>
          <w:sz w:val="24"/>
          <w:lang w:val="en-US" w:eastAsia="zh-CN"/>
        </w:rPr>
        <w:t>413075</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pStyle w:val="15"/>
        <w:tabs>
          <w:tab w:val="left" w:pos="1800"/>
          <w:tab w:val="clear" w:pos="4536"/>
        </w:tabs>
        <w:spacing w:after="60"/>
        <w:ind w:left="1807" w:hanging="1807" w:hangingChars="750"/>
        <w:rPr>
          <w:rFonts w:eastAsia="宋体"/>
          <w:sz w:val="24"/>
          <w:lang w:val="en-US" w:eastAsia="zh-CN"/>
        </w:rPr>
      </w:pPr>
      <w:r>
        <w:rPr>
          <w:sz w:val="24"/>
          <w:lang w:val="en-US"/>
        </w:rPr>
        <w:t>Title:</w:t>
      </w:r>
      <w:r>
        <w:rPr>
          <w:sz w:val="24"/>
          <w:lang w:val="en-US"/>
        </w:rPr>
        <w:tab/>
      </w:r>
      <w:r>
        <w:rPr>
          <w:rFonts w:hint="eastAsia" w:eastAsia="宋体"/>
          <w:sz w:val="24"/>
          <w:lang w:val="en-US" w:eastAsia="zh-CN"/>
        </w:rPr>
        <w:t>Discussion on the core maintenance of SSB-less SCell operation of Network energy saving for NR</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5.29.1</w:t>
      </w:r>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bookmarkStart w:id="5" w:name="_GoBack"/>
      <w:bookmarkEnd w:id="5"/>
    </w:p>
    <w:p>
      <w:pPr>
        <w:pStyle w:val="11"/>
        <w:tabs>
          <w:tab w:val="left" w:pos="226"/>
          <w:tab w:val="left" w:pos="284"/>
          <w:tab w:val="left" w:pos="5103"/>
        </w:tabs>
        <w:snapToGrid w:val="0"/>
        <w:spacing w:before="156" w:beforeLines="50"/>
        <w:rPr>
          <w:rFonts w:hint="eastAsia" w:eastAsia="宋体"/>
          <w:szCs w:val="20"/>
          <w:lang w:val="en-US" w:eastAsia="zh-CN"/>
        </w:rPr>
      </w:pPr>
      <w:r>
        <w:rPr>
          <w:rFonts w:eastAsia="宋体"/>
          <w:szCs w:val="20"/>
          <w:lang w:val="en-US" w:eastAsia="zh-CN"/>
        </w:rPr>
        <w:t>In</w:t>
      </w:r>
      <w:r>
        <w:rPr>
          <w:rFonts w:hint="eastAsia" w:eastAsia="宋体"/>
          <w:szCs w:val="20"/>
          <w:lang w:val="en-US" w:eastAsia="zh-CN"/>
        </w:rPr>
        <w:t xml:space="preserve"> last meeting, the core part maintenance and perf part maintenance were discussed. Some progress on core part were achieved in [1]. They are summarized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bookmarkStart w:id="0" w:name="OLE_LINK16"/>
            <w:r>
              <w:rPr>
                <w:b/>
                <w:u w:val="single"/>
                <w:lang w:eastAsia="ko-KR"/>
              </w:rPr>
              <w:t xml:space="preserve">Issue 1-1-1: Power difference conditions </w:t>
            </w:r>
          </w:p>
          <w:p>
            <w:pPr>
              <w:rPr>
                <w:b/>
                <w:lang w:eastAsia="ko-KR"/>
              </w:rPr>
            </w:pPr>
            <w:r>
              <w:rPr>
                <w:b/>
                <w:szCs w:val="24"/>
                <w:highlight w:val="green"/>
                <w:lang w:eastAsia="zh-CN"/>
              </w:rPr>
              <w:t>Agreement</w:t>
            </w:r>
            <w:r>
              <w:rPr>
                <w:b/>
                <w:lang w:eastAsia="ko-KR"/>
              </w:rPr>
              <w:t>:</w:t>
            </w:r>
          </w:p>
          <w:p>
            <w:pPr>
              <w:rPr>
                <w:lang w:eastAsia="ko-KR"/>
              </w:rPr>
            </w:pPr>
            <w:r>
              <w:rPr>
                <w:lang w:eastAsia="ko-KR"/>
              </w:rPr>
              <w:t>Clarify that EPRE difference is based on the EPRE normalized by SCSs of SSB of reference Cell and A-TRS/P-TRS of SSB-less Cell.</w:t>
            </w:r>
          </w:p>
          <w:p>
            <w:pPr>
              <w:rPr>
                <w:lang w:eastAsia="ko-KR"/>
              </w:rPr>
            </w:pPr>
            <w:r>
              <w:rPr>
                <w:lang w:eastAsia="ko-KR"/>
              </w:rPr>
              <w:t xml:space="preserve">Only change [9] dB to [12] dB in this meeting. </w:t>
            </w:r>
          </w:p>
          <w:p>
            <w:pPr>
              <w:rPr>
                <w:lang w:eastAsia="ko-KR"/>
              </w:rPr>
            </w:pPr>
            <w:r>
              <w:rPr>
                <w:lang w:eastAsia="ko-KR"/>
              </w:rPr>
              <w:t>Further discuss whether and how to support larger EPRE difference in next meeting:</w:t>
            </w:r>
          </w:p>
          <w:p>
            <w:pPr>
              <w:pStyle w:val="32"/>
              <w:numPr>
                <w:ilvl w:val="0"/>
                <w:numId w:val="6"/>
              </w:numPr>
              <w:ind w:firstLineChars="0"/>
              <w:rPr>
                <w:lang w:eastAsia="ko-KR"/>
              </w:rPr>
            </w:pPr>
            <w:r>
              <w:rPr>
                <w:lang w:eastAsia="ko-KR"/>
              </w:rPr>
              <w:t>Option 1: Clarify that EPRE difference is smaller or equal to [12] dB + |20*log (f1/f2)| - Margin, where f1 and f2 is the center frequency of reference Cell and SSB-less Cell and the value of Margin is FFS.</w:t>
            </w:r>
          </w:p>
          <w:p>
            <w:pPr>
              <w:pStyle w:val="32"/>
              <w:numPr>
                <w:ilvl w:val="0"/>
                <w:numId w:val="6"/>
              </w:numPr>
              <w:ind w:firstLineChars="0"/>
              <w:rPr>
                <w:lang w:eastAsia="ko-KR"/>
              </w:rPr>
            </w:pPr>
            <w:r>
              <w:rPr>
                <w:lang w:eastAsia="ko-KR"/>
              </w:rPr>
              <w:t>Option 2: Further increase [12] dB and the value is FFS</w:t>
            </w:r>
          </w:p>
          <w:p>
            <w:pPr>
              <w:pStyle w:val="32"/>
              <w:numPr>
                <w:ilvl w:val="0"/>
                <w:numId w:val="6"/>
              </w:numPr>
              <w:ind w:firstLineChars="0"/>
              <w:rPr>
                <w:lang w:eastAsia="ko-KR"/>
              </w:rPr>
            </w:pPr>
            <w:r>
              <w:rPr>
                <w:lang w:eastAsia="ko-KR"/>
              </w:rPr>
              <w:t>Option 3: Update the requirements with one more P-TRS sample for larger EPRE difference</w:t>
            </w:r>
          </w:p>
          <w:p>
            <w:pPr>
              <w:pStyle w:val="32"/>
              <w:numPr>
                <w:ilvl w:val="0"/>
                <w:numId w:val="6"/>
              </w:numPr>
              <w:ind w:firstLineChars="0"/>
              <w:rPr>
                <w:lang w:eastAsia="ko-KR"/>
              </w:rPr>
            </w:pPr>
            <w:r>
              <w:rPr>
                <w:lang w:eastAsia="ko-KR"/>
              </w:rPr>
              <w:t xml:space="preserve">Other options are no precluded. </w:t>
            </w:r>
          </w:p>
          <w:bookmarkEnd w:id="0"/>
          <w:p>
            <w:pPr>
              <w:rPr>
                <w:b/>
                <w:u w:val="single"/>
                <w:lang w:eastAsia="ko-KR"/>
              </w:rPr>
            </w:pPr>
            <w:r>
              <w:rPr>
                <w:b/>
                <w:u w:val="single"/>
                <w:lang w:eastAsia="ko-KR"/>
              </w:rPr>
              <w:t>Issue 1-1-2: Requirements applicability when multiple P-TRS are configured.</w:t>
            </w:r>
          </w:p>
          <w:p>
            <w:pPr>
              <w:rPr>
                <w:b/>
                <w:lang w:eastAsia="ko-KR"/>
              </w:rPr>
            </w:pPr>
            <w:r>
              <w:rPr>
                <w:b/>
                <w:highlight w:val="green"/>
                <w:lang w:eastAsia="ko-KR"/>
              </w:rPr>
              <w:t>Agreement</w:t>
            </w:r>
            <w:r>
              <w:rPr>
                <w:b/>
                <w:lang w:eastAsia="ko-KR"/>
              </w:rPr>
              <w:t>:</w:t>
            </w:r>
          </w:p>
          <w:p>
            <w:pPr>
              <w:rPr>
                <w:szCs w:val="24"/>
                <w:lang w:eastAsia="zh-CN"/>
              </w:rPr>
            </w:pPr>
            <w:r>
              <w:rPr>
                <w:szCs w:val="24"/>
                <w:lang w:eastAsia="zh-CN"/>
              </w:rPr>
              <w:t>The TRS used for activation shall be the one QCLed typeC with the SSB indirectly associated with the active TCI for PDCCH/PDSCH DMRS at reference cell</w:t>
            </w:r>
          </w:p>
          <w:p>
            <w:pPr>
              <w:rPr>
                <w:lang w:eastAsia="ko-KR"/>
              </w:rPr>
            </w:pPr>
            <w:r>
              <w:rPr>
                <w:szCs w:val="24"/>
                <w:lang w:eastAsia="zh-CN"/>
              </w:rPr>
              <w:t>Note: The wording can be further improved and identify the potential spec impact if needed.</w:t>
            </w:r>
          </w:p>
          <w:p>
            <w:pPr>
              <w:rPr>
                <w:b/>
                <w:u w:val="single"/>
                <w:lang w:eastAsia="ko-KR"/>
              </w:rPr>
            </w:pPr>
            <w:bookmarkStart w:id="1" w:name="_Hlk166676935"/>
            <w:r>
              <w:rPr>
                <w:b/>
                <w:u w:val="single"/>
                <w:lang w:eastAsia="ko-KR"/>
              </w:rPr>
              <w:t xml:space="preserve">Issue </w:t>
            </w:r>
            <w:bookmarkStart w:id="2" w:name="_Hlk166676763"/>
            <w:r>
              <w:rPr>
                <w:b/>
                <w:u w:val="single"/>
                <w:lang w:eastAsia="ko-KR"/>
              </w:rPr>
              <w:t>1-1-3</w:t>
            </w:r>
            <w:bookmarkEnd w:id="2"/>
            <w:r>
              <w:rPr>
                <w:b/>
                <w:u w:val="single"/>
                <w:lang w:eastAsia="ko-KR"/>
              </w:rPr>
              <w:t>: Multiple SSB-less SCells activation</w:t>
            </w:r>
          </w:p>
          <w:bookmarkEnd w:id="1"/>
          <w:p>
            <w:pPr>
              <w:rPr>
                <w:b/>
                <w:lang w:eastAsia="ko-KR"/>
              </w:rPr>
            </w:pPr>
            <w:r>
              <w:rPr>
                <w:b/>
                <w:highlight w:val="green"/>
                <w:lang w:eastAsia="ko-KR"/>
              </w:rPr>
              <w:t>Agreements</w:t>
            </w:r>
            <w:r>
              <w:rPr>
                <w:b/>
                <w:lang w:eastAsia="ko-KR"/>
              </w:rPr>
              <w:t>:</w:t>
            </w:r>
          </w:p>
          <w:p>
            <w:pPr>
              <w:pStyle w:val="32"/>
              <w:keepNext w:val="0"/>
              <w:keepLines w:val="0"/>
              <w:pageBreakBefore w:val="0"/>
              <w:widowControl w:val="0"/>
              <w:numPr>
                <w:ilvl w:val="0"/>
                <w:numId w:val="7"/>
              </w:numPr>
              <w:kinsoku/>
              <w:wordWrap/>
              <w:overflowPunct/>
              <w:topLinePunct w:val="0"/>
              <w:autoSpaceDE/>
              <w:autoSpaceDN/>
              <w:bidi w:val="0"/>
              <w:adjustRightInd/>
              <w:snapToGrid/>
              <w:ind w:left="936" w:leftChars="0" w:hanging="363" w:firstLineChars="0"/>
              <w:textAlignment w:val="auto"/>
              <w:rPr>
                <w:rFonts w:eastAsia="宋体"/>
                <w:szCs w:val="24"/>
                <w:lang w:eastAsia="zh-CN"/>
              </w:rPr>
            </w:pPr>
            <w:r>
              <w:rPr>
                <w:rFonts w:eastAsia="宋体"/>
                <w:szCs w:val="24"/>
                <w:lang w:eastAsia="zh-CN"/>
              </w:rPr>
              <w:t>Also define requirements for following scenario:</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When all to-be-activated SCells are SSBless on the same band and SCells are contiguous.</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All to-be-activated SCells have same QCL source cell.</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P-TRS is used.</w:t>
            </w:r>
          </w:p>
          <w:p>
            <w:pPr>
              <w:pStyle w:val="32"/>
              <w:keepNext w:val="0"/>
              <w:keepLines w:val="0"/>
              <w:pageBreakBefore w:val="0"/>
              <w:widowControl w:val="0"/>
              <w:numPr>
                <w:ilvl w:val="2"/>
                <w:numId w:val="7"/>
              </w:numPr>
              <w:kinsoku/>
              <w:wordWrap/>
              <w:overflowPunct/>
              <w:topLinePunct w:val="0"/>
              <w:autoSpaceDE/>
              <w:autoSpaceDN/>
              <w:bidi w:val="0"/>
              <w:adjustRightInd/>
              <w:snapToGrid/>
              <w:ind w:left="2376" w:leftChars="0" w:hanging="363" w:firstLineChars="0"/>
              <w:textAlignment w:val="auto"/>
              <w:rPr>
                <w:rFonts w:eastAsia="宋体"/>
                <w:szCs w:val="24"/>
                <w:lang w:eastAsia="zh-CN"/>
              </w:rPr>
            </w:pPr>
            <w:r>
              <w:rPr>
                <w:rFonts w:eastAsia="宋体"/>
                <w:szCs w:val="24"/>
                <w:lang w:eastAsia="zh-CN"/>
              </w:rPr>
              <w:t>Option 1: The multiple SCell activation delay requirements are based on TRS with the shortest periodicity. The detailed requirements can be discussed in the CR.</w:t>
            </w:r>
          </w:p>
          <w:p>
            <w:pPr>
              <w:pStyle w:val="32"/>
              <w:keepNext w:val="0"/>
              <w:keepLines w:val="0"/>
              <w:pageBreakBefore w:val="0"/>
              <w:widowControl w:val="0"/>
              <w:numPr>
                <w:ilvl w:val="2"/>
                <w:numId w:val="7"/>
              </w:numPr>
              <w:kinsoku/>
              <w:wordWrap/>
              <w:overflowPunct/>
              <w:topLinePunct w:val="0"/>
              <w:autoSpaceDE/>
              <w:autoSpaceDN/>
              <w:bidi w:val="0"/>
              <w:adjustRightInd/>
              <w:snapToGrid/>
              <w:ind w:left="2376" w:leftChars="0" w:hanging="363" w:firstLineChars="0"/>
              <w:textAlignment w:val="auto"/>
              <w:rPr>
                <w:rFonts w:eastAsia="宋体"/>
                <w:szCs w:val="24"/>
                <w:lang w:eastAsia="zh-CN"/>
              </w:rPr>
            </w:pPr>
            <w:r>
              <w:rPr>
                <w:rFonts w:eastAsia="宋体"/>
                <w:szCs w:val="24"/>
                <w:lang w:eastAsia="zh-CN"/>
              </w:rPr>
              <w:t>Option 2: UE activate each to-be-activated SCell based on the TRS on the SCell, and the requirements to be defined accordingly (i.e. single CC delay)</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FFS A-TRS based requirements.</w:t>
            </w:r>
          </w:p>
          <w:p>
            <w:pPr>
              <w:rPr>
                <w:b/>
                <w:u w:val="single"/>
                <w:lang w:eastAsia="ko-KR"/>
              </w:rPr>
            </w:pPr>
            <w:r>
              <w:rPr>
                <w:b/>
                <w:u w:val="single"/>
                <w:lang w:eastAsia="ko-KR"/>
              </w:rPr>
              <w:t>Issue 1-1-5: Relation to R15 intra-band SSB-less</w:t>
            </w:r>
          </w:p>
          <w:p>
            <w:pPr>
              <w:rPr>
                <w:b/>
                <w:lang w:eastAsia="ko-KR"/>
              </w:rPr>
            </w:pPr>
            <w:r>
              <w:rPr>
                <w:b/>
                <w:highlight w:val="green"/>
                <w:lang w:eastAsia="ko-KR"/>
              </w:rPr>
              <w:t>Agreement</w:t>
            </w:r>
            <w:r>
              <w:rPr>
                <w:b/>
                <w:lang w:eastAsia="ko-KR"/>
              </w:rPr>
              <w:t>:</w:t>
            </w:r>
          </w:p>
          <w:p>
            <w:pPr>
              <w:rPr>
                <w:lang w:eastAsia="ko-KR"/>
              </w:rPr>
            </w:pPr>
            <w:r>
              <w:rPr>
                <w:lang w:eastAsia="ko-KR"/>
              </w:rPr>
              <w:t>From RAN4 understanding, for UE supports both R18 inter-band SSB-less and R15 intra-band contiguous SSB-less,</w:t>
            </w:r>
          </w:p>
          <w:p>
            <w:pPr>
              <w:pStyle w:val="32"/>
              <w:numPr>
                <w:ilvl w:val="0"/>
                <w:numId w:val="8"/>
              </w:numPr>
              <w:ind w:firstLineChars="0"/>
              <w:rPr>
                <w:lang w:eastAsia="ko-KR"/>
              </w:rPr>
            </w:pPr>
            <w:r>
              <w:rPr>
                <w:lang w:eastAsia="ko-KR"/>
              </w:rPr>
              <w:t>It is not expected that the to-be-activated SCell is configured with QCL source to both intra-band contiguous and inter-band Cells [when the Rel-18 reference cell indication is not configured].</w:t>
            </w:r>
          </w:p>
          <w:p>
            <w:pPr>
              <w:pStyle w:val="32"/>
              <w:numPr>
                <w:ilvl w:val="1"/>
                <w:numId w:val="9"/>
              </w:numPr>
              <w:ind w:firstLineChars="0"/>
              <w:rPr>
                <w:lang w:eastAsia="ko-KR"/>
              </w:rPr>
            </w:pPr>
            <w:r>
              <w:rPr>
                <w:lang w:eastAsia="ko-KR"/>
              </w:rPr>
              <w:t>When R18 reference cell indication is configured, network configure with QCL source to both intra-band contiguous and inter-band Cells, there is no RAN4 agreement on whether Rel-15 or Rel-18 requirement is applied.</w:t>
            </w:r>
          </w:p>
          <w:p>
            <w:pPr>
              <w:pStyle w:val="32"/>
              <w:numPr>
                <w:ilvl w:val="1"/>
                <w:numId w:val="9"/>
              </w:numPr>
              <w:ind w:firstLineChars="0"/>
              <w:rPr>
                <w:rFonts w:hint="default"/>
                <w:b/>
                <w:u w:val="single"/>
                <w:lang w:val="en-US" w:eastAsia="zh-CN"/>
              </w:rPr>
            </w:pPr>
            <w:r>
              <w:rPr>
                <w:lang w:eastAsia="ko-KR"/>
              </w:rPr>
              <w:t>The above RAN4 understanding does not intend to trigger any further RAN2 discussion.</w:t>
            </w:r>
          </w:p>
        </w:tc>
      </w:tr>
    </w:tbl>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In this document, we provide our views on the remaining issues around SSB-less SCell operation.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bidi w:val="0"/>
        <w:rPr>
          <w:rFonts w:hint="eastAsia"/>
          <w:b/>
          <w:bCs/>
          <w:u w:val="single"/>
          <w:lang w:val="en-US" w:eastAsia="zh-CN"/>
        </w:rPr>
      </w:pPr>
      <w:r>
        <w:rPr>
          <w:rFonts w:hint="eastAsia"/>
          <w:b/>
          <w:bCs/>
          <w:u w:val="single"/>
          <w:lang w:val="en-US" w:eastAsia="zh-CN"/>
        </w:rPr>
        <w:t>Feasibility conditions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In previous meeting, the side condition of power difference has been warmly discussed with the following agreements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highlight w:val="green"/>
                <w:lang w:eastAsia="zh-CN"/>
              </w:rPr>
            </w:pPr>
            <w:r>
              <w:rPr>
                <w:rFonts w:hint="eastAsia"/>
                <w:highlight w:val="green"/>
                <w:lang w:eastAsia="zh-CN"/>
              </w:rPr>
              <w:t>A</w:t>
            </w:r>
            <w:r>
              <w:rPr>
                <w:highlight w:val="green"/>
                <w:lang w:eastAsia="zh-CN"/>
              </w:rPr>
              <w:t>greement:</w:t>
            </w:r>
          </w:p>
          <w:p>
            <w:pPr>
              <w:bidi w:val="0"/>
              <w:ind w:leftChars="200"/>
              <w:rPr>
                <w:highlight w:val="green"/>
              </w:rPr>
            </w:pPr>
            <w:r>
              <w:rPr>
                <w:highlight w:val="green"/>
              </w:rPr>
              <w:t>The requirements apply provided that [EPRE] difference at UE side is less than [9] dB.</w:t>
            </w:r>
          </w:p>
          <w:p>
            <w:pPr>
              <w:numPr>
                <w:ilvl w:val="0"/>
                <w:numId w:val="10"/>
              </w:numPr>
              <w:bidi w:val="0"/>
              <w:ind w:left="840" w:leftChars="0" w:hanging="420" w:firstLineChars="0"/>
              <w:rPr>
                <w:highlight w:val="green"/>
              </w:rPr>
            </w:pPr>
            <w:r>
              <w:rPr>
                <w:highlight w:val="green"/>
              </w:rPr>
              <w:t>EPRE difference is based on power difference between TRS symbol on SSB-less SCell and SSB symbol on reference cel</w:t>
            </w:r>
            <w:r>
              <w:rPr>
                <w:rFonts w:hint="eastAsia" w:eastAsia="宋体"/>
                <w:highlight w:val="green"/>
                <w:lang w:val="en-US" w:eastAsia="zh-CN"/>
              </w:rPr>
              <w:t>l</w:t>
            </w:r>
          </w:p>
          <w:p>
            <w:pPr>
              <w:numPr>
                <w:ilvl w:val="0"/>
                <w:numId w:val="10"/>
              </w:numPr>
              <w:bidi w:val="0"/>
              <w:ind w:left="840" w:leftChars="0" w:hanging="420" w:firstLineChars="0"/>
              <w:rPr>
                <w:rFonts w:hint="eastAsia" w:eastAsia="宋体"/>
                <w:szCs w:val="20"/>
                <w:vertAlign w:val="baseline"/>
                <w:lang w:val="en-US" w:eastAsia="zh-CN"/>
              </w:rPr>
            </w:pPr>
            <w:r>
              <w:rPr>
                <w:highlight w:val="green"/>
              </w:rPr>
              <w:t>Capture in the WF that RAN4 assumes that UE carries out pre-compensation for AGC considering [BW difference and carrier frequency difference].</w:t>
            </w:r>
          </w:p>
          <w:p>
            <w:pPr>
              <w:numPr>
                <w:ilvl w:val="0"/>
                <w:numId w:val="10"/>
              </w:numPr>
              <w:bidi w:val="0"/>
              <w:ind w:left="840" w:leftChars="0" w:hanging="420" w:firstLineChars="0"/>
              <w:rPr>
                <w:rFonts w:hint="eastAsia" w:eastAsia="宋体"/>
                <w:szCs w:val="20"/>
                <w:vertAlign w:val="baseline"/>
                <w:lang w:val="en-US" w:eastAsia="zh-CN"/>
              </w:rPr>
            </w:pPr>
            <w:r>
              <w:rPr>
                <w:highlight w:val="green"/>
              </w:rPr>
              <w:t>Further discuss whether/how to capture the EPRE after pre-compensation in the spec.</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Actually the threshold of [9] dB aims to detect the post-power difference after the operation of pre-compensation between the SSB-less SCell and reference cell. Here the pre-compensation is used by UE to overcome the predicted power difference between SSB-less SCell and reference cell since of the BW difference and carrier frequency difference. Since the post-PSD/EPRE is newly introduced here, so how to capture it precisely into the spec, which needs to consider.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While unfortunately, in last meeting, no progress achieved regarding how to capture the </w:t>
      </w:r>
      <w:r>
        <w:rPr>
          <w:rFonts w:hint="default" w:eastAsia="宋体"/>
          <w:szCs w:val="20"/>
          <w:lang w:val="en-US" w:eastAsia="zh-CN"/>
        </w:rPr>
        <w:t>‘</w:t>
      </w:r>
      <w:r>
        <w:rPr>
          <w:rFonts w:hint="eastAsia" w:eastAsia="宋体"/>
          <w:szCs w:val="20"/>
          <w:lang w:val="en-US" w:eastAsia="zh-CN"/>
        </w:rPr>
        <w:t>pre-compensation</w:t>
      </w:r>
      <w:r>
        <w:rPr>
          <w:rFonts w:hint="default" w:eastAsia="宋体"/>
          <w:szCs w:val="20"/>
          <w:lang w:val="en-US" w:eastAsia="zh-CN"/>
        </w:rPr>
        <w:t>’</w:t>
      </w:r>
      <w:r>
        <w:rPr>
          <w:rFonts w:hint="eastAsia" w:eastAsia="宋体"/>
          <w:szCs w:val="20"/>
          <w:lang w:val="en-US" w:eastAsia="zh-CN"/>
        </w:rPr>
        <w:t xml:space="preserve"> in the spec. Furthermore, companies have different understanding on the </w:t>
      </w:r>
      <w:r>
        <w:rPr>
          <w:rFonts w:hint="default" w:eastAsia="宋体"/>
          <w:szCs w:val="20"/>
          <w:lang w:val="en-US" w:eastAsia="zh-CN"/>
        </w:rPr>
        <w:t>‘</w:t>
      </w:r>
      <w:r>
        <w:rPr>
          <w:rFonts w:hint="eastAsia" w:eastAsia="宋体"/>
          <w:szCs w:val="20"/>
          <w:lang w:val="en-US" w:eastAsia="zh-CN"/>
        </w:rPr>
        <w:t>pre-compensation</w:t>
      </w:r>
      <w:r>
        <w:rPr>
          <w:rFonts w:hint="default" w:eastAsia="宋体"/>
          <w:szCs w:val="20"/>
          <w:lang w:val="en-US" w:eastAsia="zh-CN"/>
        </w:rPr>
        <w:t>’</w:t>
      </w:r>
      <w:r>
        <w:rPr>
          <w:rFonts w:hint="eastAsia" w:eastAsia="宋体"/>
          <w:szCs w:val="20"/>
          <w:lang w:val="en-US" w:eastAsia="zh-CN"/>
        </w:rPr>
        <w:t>. So only one point approved, i.e. change [9] dB to [12] dB. The reason behind lies in that powerControlOffsetSS provides the power offset of NZP CSI-RS RE to SSS RE and the value range is between -3dB to 6dB. For inter-band SSB-less SCell operation, as the EPRE difference is between the TRS on SSB-less SCell and SSB on reference cell, this would leave 3dB margin to the power difference on SSB between the SSB-less SCell and the reference cell if EPRE difference side condition is set to be within [9dB]. As receive power difference is considered within 6dB for intra-band SSB-less operation, 3dB margin for inter-band CA is too restricted for network implementation. It is obvious such update  does not aim to address the frequency separation issue between the SSB-less SCell and reference cell.</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As a result, how to address the frequency separation issue, it is still vacant. After warm discussion during last meeting, the following options were proposed: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lang w:eastAsia="ko-KR"/>
              </w:rPr>
            </w:pPr>
            <w:r>
              <w:rPr>
                <w:lang w:eastAsia="ko-KR"/>
              </w:rPr>
              <w:t>Further discuss whether and how to support larger EPRE difference in next meeting:</w:t>
            </w:r>
          </w:p>
          <w:p>
            <w:pPr>
              <w:pStyle w:val="32"/>
              <w:numPr>
                <w:ilvl w:val="0"/>
                <w:numId w:val="6"/>
              </w:numPr>
              <w:ind w:firstLineChars="0"/>
              <w:rPr>
                <w:lang w:eastAsia="ko-KR"/>
              </w:rPr>
            </w:pPr>
            <w:r>
              <w:rPr>
                <w:lang w:eastAsia="ko-KR"/>
              </w:rPr>
              <w:t>Option 1: Clarify that EPRE difference is smaller or equal to [12] dB + |20*log (f1/f2)| - Margin, where f1 and f2 is the center frequency of reference Cell and SSB-less Cell and the value of Margin is FFS.</w:t>
            </w:r>
          </w:p>
          <w:p>
            <w:pPr>
              <w:pStyle w:val="32"/>
              <w:numPr>
                <w:ilvl w:val="0"/>
                <w:numId w:val="6"/>
              </w:numPr>
              <w:ind w:firstLineChars="0"/>
              <w:rPr>
                <w:lang w:eastAsia="ko-KR"/>
              </w:rPr>
            </w:pPr>
            <w:r>
              <w:rPr>
                <w:lang w:eastAsia="ko-KR"/>
              </w:rPr>
              <w:t>Option 2: Further increase [12] dB and the value is FFS</w:t>
            </w:r>
          </w:p>
          <w:p>
            <w:pPr>
              <w:pStyle w:val="32"/>
              <w:numPr>
                <w:ilvl w:val="0"/>
                <w:numId w:val="6"/>
              </w:numPr>
              <w:ind w:firstLineChars="0"/>
              <w:rPr>
                <w:lang w:eastAsia="ko-KR"/>
              </w:rPr>
            </w:pPr>
            <w:r>
              <w:rPr>
                <w:lang w:eastAsia="ko-KR"/>
              </w:rPr>
              <w:t>Option 3: Update the requirements with one more P-TRS sample for larger EPRE difference</w:t>
            </w:r>
          </w:p>
          <w:p>
            <w:pPr>
              <w:pStyle w:val="32"/>
              <w:numPr>
                <w:ilvl w:val="0"/>
                <w:numId w:val="6"/>
              </w:numPr>
              <w:ind w:firstLineChars="0"/>
              <w:rPr>
                <w:rFonts w:hint="default" w:eastAsia="宋体"/>
                <w:szCs w:val="20"/>
                <w:vertAlign w:val="baseline"/>
                <w:lang w:val="en-US" w:eastAsia="zh-CN"/>
              </w:rPr>
            </w:pPr>
            <w:r>
              <w:rPr>
                <w:lang w:eastAsia="ko-KR"/>
              </w:rPr>
              <w:t xml:space="preserve">Other options are no precluded. </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Regarding Option 3, we are very concerned about it. At the beginning of the feasibility condition discussion, we have proposed that one choice is to define two sets of conditions and relevant two sets of requirements, but denied by the majority. Then following the principle of only allowing a single set of condition and a single set of requirement, finally only one set of requirement defined, i.e. with two TRS samples to perform fine T/F tracking and AGC in 109 meeting.</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At this maintenance stage, if following Option 3, which means the already defined requirements would be override, it should be cautious. So compared with all these options, we prefer Option 1 and Option 2.</w:t>
      </w:r>
    </w:p>
    <w:p>
      <w:pPr>
        <w:rPr>
          <w:rFonts w:hint="eastAsia" w:eastAsia="宋体"/>
          <w:b/>
          <w:bCs/>
          <w:szCs w:val="20"/>
          <w:highlight w:val="none"/>
          <w:lang w:val="en-US" w:eastAsia="zh-CN"/>
        </w:rPr>
      </w:pPr>
      <w:r>
        <w:rPr>
          <w:rFonts w:hint="eastAsia" w:eastAsia="宋体"/>
          <w:b/>
          <w:bCs/>
          <w:szCs w:val="20"/>
          <w:highlight w:val="none"/>
          <w:lang w:val="en-US" w:eastAsia="zh-CN"/>
        </w:rPr>
        <w:t>Observation 1: The principle of only allowing a single set of condition and a single relevant requirements was identified in previous meeting.</w:t>
      </w:r>
    </w:p>
    <w:p>
      <w:pPr>
        <w:rPr>
          <w:rFonts w:hint="eastAsia" w:eastAsia="宋体"/>
          <w:b/>
          <w:bCs/>
          <w:szCs w:val="20"/>
          <w:highlight w:val="none"/>
          <w:lang w:val="en-US" w:eastAsia="zh-CN"/>
        </w:rPr>
      </w:pPr>
      <w:bookmarkStart w:id="3" w:name="OLE_LINK1"/>
      <w:r>
        <w:rPr>
          <w:rFonts w:hint="eastAsia" w:eastAsia="宋体"/>
          <w:b/>
          <w:bCs/>
          <w:szCs w:val="20"/>
          <w:highlight w:val="none"/>
          <w:lang w:val="en-US" w:eastAsia="zh-CN"/>
        </w:rPr>
        <w:t xml:space="preserve">Observation 2: </w:t>
      </w:r>
      <w:bookmarkEnd w:id="3"/>
      <w:r>
        <w:rPr>
          <w:rFonts w:hint="eastAsia" w:eastAsia="宋体"/>
          <w:b/>
          <w:bCs/>
          <w:szCs w:val="20"/>
          <w:highlight w:val="none"/>
          <w:lang w:val="en-US" w:eastAsia="zh-CN"/>
        </w:rPr>
        <w:t>At this maintenance state, overriding previous requirement should be cautious.</w:t>
      </w:r>
    </w:p>
    <w:p>
      <w:pPr>
        <w:rPr>
          <w:rFonts w:hint="default" w:eastAsia="宋体" w:cs="Times New Roman"/>
          <w:szCs w:val="20"/>
          <w:lang w:val="en-US" w:eastAsia="zh-CN" w:bidi="ar-SA"/>
        </w:rPr>
      </w:pPr>
      <w:r>
        <w:rPr>
          <w:rFonts w:hint="eastAsia" w:eastAsia="宋体"/>
          <w:b/>
          <w:bCs/>
          <w:szCs w:val="20"/>
          <w:highlight w:val="none"/>
          <w:lang w:val="en-US" w:eastAsia="zh-CN"/>
        </w:rPr>
        <w:t xml:space="preserve">Proposal 1: Compared with all the options, Option 1 and Option 2 are preferred by us. </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u w:val="single"/>
          <w:lang w:val="en-US" w:eastAsia="ko-KR"/>
        </w:rPr>
      </w:pPr>
      <w:r>
        <w:rPr>
          <w:rFonts w:hint="eastAsia" w:eastAsia="宋体"/>
          <w:b/>
          <w:u w:val="single"/>
          <w:lang w:val="en-US" w:eastAsia="zh-CN"/>
        </w:rPr>
        <w:t>Requirements of m</w:t>
      </w:r>
      <w:r>
        <w:rPr>
          <w:b/>
          <w:u w:val="single"/>
          <w:lang w:eastAsia="ko-KR"/>
        </w:rPr>
        <w:t>ultiple SSB-less SCells activation</w:t>
      </w:r>
    </w:p>
    <w:p>
      <w:pPr>
        <w:pStyle w:val="11"/>
        <w:tabs>
          <w:tab w:val="left" w:pos="226"/>
          <w:tab w:val="left" w:pos="284"/>
          <w:tab w:val="left" w:pos="5103"/>
        </w:tabs>
        <w:snapToGrid w:val="0"/>
        <w:spacing w:before="156" w:beforeLines="50"/>
        <w:rPr>
          <w:rFonts w:hint="eastAsia" w:eastAsia="宋体" w:cs="Times New Roman"/>
          <w:szCs w:val="20"/>
          <w:lang w:val="en-US" w:eastAsia="zh-CN" w:bidi="ar-SA"/>
        </w:rPr>
      </w:pPr>
      <w:r>
        <w:rPr>
          <w:rFonts w:hint="eastAsia" w:eastAsia="宋体" w:cs="Times New Roman"/>
          <w:szCs w:val="20"/>
          <w:lang w:val="en-US" w:eastAsia="zh-CN" w:bidi="ar-SA"/>
        </w:rPr>
        <w:t>This case is possible happened in practice when multiple SCells co-located deployed. The case of multiple SSB-less SCells in different bands has been identified in last meeting, with the conclusion that applying existing single CC requirement to each to-be-activated SSB-less SCells in different band respectively. While regarding the case of multiple SSB-less SCells in same band, whether to further optimize the requirements, the following options were proposed in last meeting: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b/>
                <w:lang w:eastAsia="ko-KR"/>
              </w:rPr>
            </w:pPr>
            <w:r>
              <w:rPr>
                <w:b/>
                <w:highlight w:val="green"/>
                <w:lang w:eastAsia="ko-KR"/>
              </w:rPr>
              <w:t>Agreements</w:t>
            </w:r>
            <w:r>
              <w:rPr>
                <w:b/>
                <w:lang w:eastAsia="ko-KR"/>
              </w:rPr>
              <w:t>:</w:t>
            </w:r>
          </w:p>
          <w:p>
            <w:pPr>
              <w:pStyle w:val="32"/>
              <w:keepNext w:val="0"/>
              <w:keepLines w:val="0"/>
              <w:pageBreakBefore w:val="0"/>
              <w:widowControl w:val="0"/>
              <w:numPr>
                <w:ilvl w:val="0"/>
                <w:numId w:val="7"/>
              </w:numPr>
              <w:kinsoku/>
              <w:wordWrap/>
              <w:overflowPunct/>
              <w:topLinePunct w:val="0"/>
              <w:autoSpaceDE/>
              <w:autoSpaceDN/>
              <w:bidi w:val="0"/>
              <w:adjustRightInd/>
              <w:snapToGrid/>
              <w:ind w:left="936" w:leftChars="0" w:hanging="360" w:firstLineChars="0"/>
              <w:textAlignment w:val="auto"/>
              <w:rPr>
                <w:rFonts w:eastAsia="宋体"/>
                <w:szCs w:val="24"/>
                <w:lang w:eastAsia="zh-CN"/>
              </w:rPr>
            </w:pPr>
            <w:r>
              <w:rPr>
                <w:rFonts w:eastAsia="宋体"/>
                <w:szCs w:val="24"/>
                <w:lang w:eastAsia="zh-CN"/>
              </w:rPr>
              <w:t>Also define requirements for following scenario:</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0" w:firstLineChars="0"/>
              <w:textAlignment w:val="auto"/>
              <w:rPr>
                <w:rFonts w:eastAsia="宋体"/>
                <w:szCs w:val="24"/>
                <w:lang w:eastAsia="zh-CN"/>
              </w:rPr>
            </w:pPr>
            <w:r>
              <w:rPr>
                <w:rFonts w:eastAsia="宋体"/>
                <w:szCs w:val="24"/>
                <w:lang w:eastAsia="zh-CN"/>
              </w:rPr>
              <w:t>When all to-be-activated SCells are SSBless on the same band and SCells are contiguous.</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0" w:firstLineChars="0"/>
              <w:textAlignment w:val="auto"/>
              <w:rPr>
                <w:rFonts w:eastAsia="宋体"/>
                <w:szCs w:val="24"/>
                <w:lang w:eastAsia="zh-CN"/>
              </w:rPr>
            </w:pPr>
            <w:r>
              <w:rPr>
                <w:rFonts w:eastAsia="宋体"/>
                <w:szCs w:val="24"/>
                <w:lang w:eastAsia="zh-CN"/>
              </w:rPr>
              <w:t>All to-be-activated SCells have same QCL source cell.</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0" w:firstLineChars="0"/>
              <w:textAlignment w:val="auto"/>
              <w:rPr>
                <w:rFonts w:eastAsia="宋体"/>
                <w:szCs w:val="24"/>
                <w:lang w:eastAsia="zh-CN"/>
              </w:rPr>
            </w:pPr>
            <w:r>
              <w:rPr>
                <w:rFonts w:eastAsia="宋体"/>
                <w:szCs w:val="24"/>
                <w:lang w:eastAsia="zh-CN"/>
              </w:rPr>
              <w:t>P-TRS is used.</w:t>
            </w:r>
          </w:p>
          <w:p>
            <w:pPr>
              <w:pStyle w:val="32"/>
              <w:keepNext w:val="0"/>
              <w:keepLines w:val="0"/>
              <w:pageBreakBefore w:val="0"/>
              <w:widowControl w:val="0"/>
              <w:numPr>
                <w:ilvl w:val="2"/>
                <w:numId w:val="7"/>
              </w:numPr>
              <w:kinsoku/>
              <w:wordWrap/>
              <w:overflowPunct/>
              <w:topLinePunct w:val="0"/>
              <w:autoSpaceDE/>
              <w:autoSpaceDN/>
              <w:bidi w:val="0"/>
              <w:adjustRightInd/>
              <w:snapToGrid/>
              <w:ind w:left="2376" w:leftChars="0" w:hanging="360" w:firstLineChars="0"/>
              <w:textAlignment w:val="auto"/>
              <w:rPr>
                <w:rFonts w:eastAsia="宋体"/>
                <w:szCs w:val="24"/>
                <w:lang w:eastAsia="zh-CN"/>
              </w:rPr>
            </w:pPr>
            <w:r>
              <w:rPr>
                <w:rFonts w:eastAsia="宋体"/>
                <w:szCs w:val="24"/>
                <w:lang w:eastAsia="zh-CN"/>
              </w:rPr>
              <w:t>Option 1: The multiple SCell activation delay requirements are based on TRS with the shortest periodicity. The detailed requirements can be discussed in the CR.</w:t>
            </w:r>
          </w:p>
          <w:p>
            <w:pPr>
              <w:pStyle w:val="32"/>
              <w:keepNext w:val="0"/>
              <w:keepLines w:val="0"/>
              <w:pageBreakBefore w:val="0"/>
              <w:widowControl w:val="0"/>
              <w:numPr>
                <w:ilvl w:val="2"/>
                <w:numId w:val="7"/>
              </w:numPr>
              <w:kinsoku/>
              <w:wordWrap/>
              <w:overflowPunct/>
              <w:topLinePunct w:val="0"/>
              <w:autoSpaceDE/>
              <w:autoSpaceDN/>
              <w:bidi w:val="0"/>
              <w:adjustRightInd/>
              <w:snapToGrid/>
              <w:ind w:left="2376" w:leftChars="0" w:hanging="360" w:firstLineChars="0"/>
              <w:textAlignment w:val="auto"/>
              <w:rPr>
                <w:rFonts w:eastAsia="宋体"/>
                <w:szCs w:val="24"/>
                <w:lang w:eastAsia="zh-CN"/>
              </w:rPr>
            </w:pPr>
            <w:r>
              <w:rPr>
                <w:rFonts w:eastAsia="宋体"/>
                <w:szCs w:val="24"/>
                <w:lang w:eastAsia="zh-CN"/>
              </w:rPr>
              <w:t>Option 2: UE activate each to-be-activated SCell based on the TRS on the SCell, and the requirements to be defined accordingly (i.e. single CC delay)</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0" w:firstLineChars="0"/>
              <w:textAlignment w:val="auto"/>
              <w:rPr>
                <w:rFonts w:hint="default" w:eastAsia="宋体" w:cs="Times New Roman"/>
                <w:szCs w:val="20"/>
                <w:vertAlign w:val="baseline"/>
                <w:lang w:val="en-US" w:eastAsia="zh-CN" w:bidi="ar-SA"/>
              </w:rPr>
            </w:pPr>
            <w:r>
              <w:rPr>
                <w:rFonts w:eastAsia="宋体"/>
                <w:szCs w:val="24"/>
                <w:lang w:eastAsia="zh-CN"/>
              </w:rPr>
              <w:t>FFS A-TRS based requirements.</w:t>
            </w:r>
          </w:p>
        </w:tc>
      </w:tr>
    </w:tbl>
    <w:p>
      <w:pPr>
        <w:pStyle w:val="11"/>
        <w:tabs>
          <w:tab w:val="left" w:pos="226"/>
          <w:tab w:val="left" w:pos="284"/>
          <w:tab w:val="left" w:pos="5103"/>
        </w:tabs>
        <w:snapToGrid w:val="0"/>
        <w:spacing w:before="156" w:beforeLines="50"/>
        <w:rPr>
          <w:rFonts w:hint="eastAsia" w:eastAsia="宋体" w:cs="Times New Roman"/>
          <w:szCs w:val="20"/>
          <w:lang w:val="en-US" w:eastAsia="zh-CN" w:bidi="ar-SA"/>
        </w:rPr>
      </w:pPr>
      <w:r>
        <w:rPr>
          <w:rFonts w:hint="eastAsia" w:eastAsia="宋体" w:cs="Times New Roman"/>
          <w:szCs w:val="20"/>
          <w:lang w:val="en-US" w:eastAsia="zh-CN" w:bidi="ar-SA"/>
        </w:rPr>
        <w:t xml:space="preserve">For the P-TRS based activation, Option 1 provides further optimization to reduce the whole latency. It would make sense to prioritize the SSB-less SCell with the smallest TRS periodicity for activation, and then treat the other SSB-less SCell(s) activation by reusing all the AGC and T/F information (no additional time is needed for activation). I.e. for the other SSB-less SCell contiguous in the same band, the case is similar as SSB-less operation in legacy intra-band contiguous CA. </w:t>
      </w:r>
    </w:p>
    <w:p>
      <w:pPr>
        <w:pStyle w:val="11"/>
        <w:tabs>
          <w:tab w:val="left" w:pos="226"/>
          <w:tab w:val="left" w:pos="284"/>
          <w:tab w:val="left" w:pos="5103"/>
        </w:tabs>
        <w:snapToGrid w:val="0"/>
        <w:spacing w:before="156" w:beforeLines="50"/>
        <w:rPr>
          <w:rFonts w:hint="default" w:eastAsia="宋体" w:cs="Times New Roman"/>
          <w:szCs w:val="20"/>
          <w:lang w:val="en-US" w:eastAsia="zh-CN" w:bidi="ar-SA"/>
        </w:rPr>
      </w:pPr>
      <w:r>
        <w:rPr>
          <w:rFonts w:hint="eastAsia" w:eastAsia="宋体" w:cs="Times New Roman"/>
          <w:szCs w:val="20"/>
          <w:lang w:val="en-US" w:eastAsia="zh-CN" w:bidi="ar-SA"/>
        </w:rPr>
        <w:t xml:space="preserve">For the A-TRS based, to be simplify, following the conclusion that applying single SSB-less SCell activation requirements for each SCell respectively, no need additional optimization. </w:t>
      </w:r>
    </w:p>
    <w:p>
      <w:pPr>
        <w:rPr>
          <w:rFonts w:hint="eastAsia" w:eastAsia="宋体"/>
          <w:b/>
          <w:bCs/>
          <w:szCs w:val="20"/>
          <w:highlight w:val="none"/>
          <w:lang w:val="en-US" w:eastAsia="zh-CN"/>
        </w:rPr>
      </w:pPr>
      <w:r>
        <w:rPr>
          <w:rFonts w:hint="eastAsia" w:eastAsia="宋体"/>
          <w:b/>
          <w:bCs/>
          <w:szCs w:val="20"/>
          <w:highlight w:val="none"/>
          <w:lang w:val="en-US" w:eastAsia="zh-CN"/>
        </w:rPr>
        <w:t xml:space="preserve">Proposal 2: For multiple SSB-less SCell activation contiguous in the same band, and all SSB-less SCells have same QCL source cell, </w:t>
      </w:r>
    </w:p>
    <w:p>
      <w:pPr>
        <w:numPr>
          <w:ilvl w:val="0"/>
          <w:numId w:val="11"/>
        </w:numPr>
        <w:ind w:left="420" w:leftChars="0" w:hanging="420" w:firstLineChars="0"/>
        <w:rPr>
          <w:rFonts w:hint="default" w:eastAsia="宋体"/>
          <w:b/>
          <w:bCs/>
          <w:szCs w:val="20"/>
          <w:highlight w:val="none"/>
          <w:lang w:val="en-US" w:eastAsia="zh-CN"/>
        </w:rPr>
      </w:pPr>
      <w:r>
        <w:rPr>
          <w:rFonts w:hint="eastAsia" w:eastAsia="宋体"/>
          <w:b/>
          <w:bCs/>
          <w:szCs w:val="20"/>
          <w:highlight w:val="none"/>
          <w:lang w:val="en-US" w:eastAsia="zh-CN"/>
        </w:rPr>
        <w:t>For P-TRS based activation, the multiple SCell activation delay requirements are based on TRS with the shortest periodicity.</w:t>
      </w:r>
    </w:p>
    <w:p>
      <w:pPr>
        <w:numPr>
          <w:ilvl w:val="0"/>
          <w:numId w:val="11"/>
        </w:numPr>
        <w:ind w:left="420" w:leftChars="0" w:hanging="420" w:firstLineChars="0"/>
        <w:rPr>
          <w:rFonts w:hint="default" w:eastAsia="宋体" w:cs="Times New Roman"/>
          <w:szCs w:val="20"/>
          <w:lang w:val="en-US" w:eastAsia="zh-CN" w:bidi="ar-SA"/>
        </w:rPr>
      </w:pPr>
      <w:r>
        <w:rPr>
          <w:rFonts w:hint="eastAsia" w:eastAsia="宋体"/>
          <w:b/>
          <w:bCs/>
          <w:szCs w:val="20"/>
          <w:highlight w:val="none"/>
          <w:lang w:val="en-US" w:eastAsia="zh-CN"/>
        </w:rPr>
        <w:t>For A-TRS based activation, applying single SSB-less SCell activation requirements for each SCell respectively.</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b/>
          <w:u w:val="single"/>
          <w:lang w:eastAsia="ko-KR"/>
        </w:rPr>
      </w:pPr>
      <w:r>
        <w:rPr>
          <w:b/>
          <w:u w:val="single"/>
          <w:lang w:eastAsia="ko-KR"/>
        </w:rPr>
        <w:t>Relation to R15 intra-band SSB-less</w:t>
      </w:r>
    </w:p>
    <w:p>
      <w:pPr>
        <w:pStyle w:val="11"/>
        <w:tabs>
          <w:tab w:val="left" w:pos="226"/>
          <w:tab w:val="left" w:pos="284"/>
          <w:tab w:val="left" w:pos="5103"/>
        </w:tabs>
        <w:snapToGrid w:val="0"/>
        <w:spacing w:before="156" w:beforeLines="50"/>
        <w:rPr>
          <w:rFonts w:hint="default" w:eastAsia="宋体"/>
          <w:szCs w:val="20"/>
          <w:lang w:val="en-US" w:eastAsia="zh-CN"/>
        </w:rPr>
      </w:pPr>
      <w:bookmarkStart w:id="4" w:name="OLE_LINK2"/>
      <w:r>
        <w:rPr>
          <w:rFonts w:hint="eastAsia" w:eastAsia="宋体"/>
          <w:szCs w:val="20"/>
          <w:lang w:val="en-US" w:eastAsia="zh-CN"/>
        </w:rPr>
        <w:t>T</w:t>
      </w:r>
      <w:bookmarkEnd w:id="4"/>
      <w:r>
        <w:rPr>
          <w:rFonts w:hint="eastAsia" w:eastAsia="宋体"/>
          <w:szCs w:val="20"/>
          <w:lang w:val="en-US" w:eastAsia="zh-CN"/>
        </w:rPr>
        <w:t>his issue was raised in last meeting. The main reason behind lies in the mixture case that both intra-band SSB-less and inter-band SSB-less SCell deployed. Since in legacy R15 intra-band SSB-less operation, no any explicit signalling to determine the reference cell, actually the QCL source cell is the reference cell by default. While in R18 inter-band SSB-less operation, the indication signalling of reference cell was introduced. Furthermore, if no reference cell was indicated, the QCL-C source is reference cell by default. As different mechanism defined for R15 intra-band SSB-less operation and R18 inter-band SSB-less operation respectively, for the UE capable of both R15 intra-band SSB-less operation and R18 inter-band SSB-less operation, in the co-located deployment, it is probably that only intra-band SSB-less SCell operation enabled, or only inter-band SSB-less operation enabled, or mixture of them enabled by NW. It is necessary to identify whether any ambiguity exists for each case.</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After warm discussion during last meeting, some initial conclusion was achieved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lang w:eastAsia="ko-KR"/>
              </w:rPr>
            </w:pPr>
            <w:r>
              <w:rPr>
                <w:b/>
                <w:highlight w:val="green"/>
                <w:lang w:eastAsia="ko-KR"/>
              </w:rPr>
              <w:t>Agreement</w:t>
            </w:r>
            <w:r>
              <w:rPr>
                <w:b/>
                <w:lang w:eastAsia="ko-KR"/>
              </w:rPr>
              <w:t>:</w:t>
            </w:r>
          </w:p>
          <w:p>
            <w:pPr>
              <w:rPr>
                <w:lang w:eastAsia="ko-KR"/>
              </w:rPr>
            </w:pPr>
            <w:r>
              <w:rPr>
                <w:lang w:eastAsia="ko-KR"/>
              </w:rPr>
              <w:t>From RAN4 understanding, for UE supports both R18 inter-band SSB-less and R15 intra-band contiguous SSB-less,</w:t>
            </w:r>
          </w:p>
          <w:p>
            <w:pPr>
              <w:pStyle w:val="32"/>
              <w:numPr>
                <w:ilvl w:val="0"/>
                <w:numId w:val="8"/>
              </w:numPr>
              <w:ind w:firstLineChars="0"/>
              <w:rPr>
                <w:lang w:eastAsia="ko-KR"/>
              </w:rPr>
            </w:pPr>
            <w:r>
              <w:rPr>
                <w:lang w:eastAsia="ko-KR"/>
              </w:rPr>
              <w:t>It is not expected that the to-be-activated SCell is configured with QCL source to both intra-band contiguous and inter-band Cells [when the Rel-18 reference cell indication is not configured].</w:t>
            </w:r>
          </w:p>
          <w:p>
            <w:pPr>
              <w:pStyle w:val="32"/>
              <w:numPr>
                <w:ilvl w:val="1"/>
                <w:numId w:val="9"/>
              </w:numPr>
              <w:ind w:firstLineChars="0"/>
              <w:rPr>
                <w:lang w:eastAsia="ko-KR"/>
              </w:rPr>
            </w:pPr>
            <w:r>
              <w:rPr>
                <w:lang w:eastAsia="ko-KR"/>
              </w:rPr>
              <w:t>When R18 reference cell indication is configured, network configure with QCL source to both intra-band contiguous and inter-band Cells, there is no RAN4 agreement on whether Rel-15 or Rel-18 requirement is applied.</w:t>
            </w:r>
          </w:p>
          <w:p>
            <w:pPr>
              <w:pStyle w:val="32"/>
              <w:numPr>
                <w:ilvl w:val="1"/>
                <w:numId w:val="9"/>
              </w:numPr>
              <w:ind w:firstLineChars="0"/>
              <w:rPr>
                <w:rFonts w:hint="default" w:eastAsia="宋体"/>
                <w:szCs w:val="20"/>
                <w:vertAlign w:val="baseline"/>
                <w:lang w:val="en-US" w:eastAsia="zh-CN"/>
              </w:rPr>
            </w:pPr>
            <w:r>
              <w:rPr>
                <w:lang w:eastAsia="ko-KR"/>
              </w:rPr>
              <w:t>The above RAN4 understanding does not intend to trigger any further RAN2 discussion.</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First, only the UE capable of both R15 intra-band SSB-less operation and R18 inter-band SSB-less operation has to face such mixture case. For the UE only capable of either, the NW should make sure such mixture case would not happens.</w:t>
      </w:r>
    </w:p>
    <w:p>
      <w:pPr>
        <w:rPr>
          <w:rFonts w:hint="eastAsia" w:eastAsia="宋体"/>
          <w:szCs w:val="20"/>
          <w:lang w:val="en-US" w:eastAsia="zh-CN"/>
        </w:rPr>
      </w:pPr>
      <w:r>
        <w:rPr>
          <w:rFonts w:hint="eastAsia" w:eastAsia="宋体"/>
          <w:b/>
          <w:bCs/>
          <w:szCs w:val="20"/>
          <w:highlight w:val="none"/>
          <w:lang w:val="en-US" w:eastAsia="zh-CN"/>
        </w:rPr>
        <w:t>Observation 3: Only the UE capable of both R15 intra-band SSB-less operation and R18 inter-band SSB-less operation has to face such mixture case.</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We summarize all possible cases for the UE capable of both R15 and R18 capabilities as below:</w:t>
      </w:r>
    </w:p>
    <w:p>
      <w:pPr>
        <w:pStyle w:val="11"/>
        <w:numPr>
          <w:ilvl w:val="0"/>
          <w:numId w:val="12"/>
        </w:numPr>
        <w:tabs>
          <w:tab w:val="left" w:pos="226"/>
          <w:tab w:val="left" w:pos="284"/>
          <w:tab w:val="left" w:pos="5103"/>
        </w:tabs>
        <w:snapToGrid w:val="0"/>
        <w:spacing w:before="156" w:beforeLines="50"/>
        <w:ind w:left="420" w:leftChars="0" w:hanging="420" w:firstLineChars="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Case 1: Only intra-band SSB-less SCell enabling</w:t>
      </w:r>
    </w:p>
    <w:p>
      <w:pPr>
        <w:pStyle w:val="11"/>
        <w:numPr>
          <w:ilvl w:val="0"/>
          <w:numId w:val="12"/>
        </w:numPr>
        <w:tabs>
          <w:tab w:val="left" w:pos="226"/>
          <w:tab w:val="left" w:pos="284"/>
          <w:tab w:val="left" w:pos="5103"/>
        </w:tabs>
        <w:snapToGrid w:val="0"/>
        <w:spacing w:before="156" w:beforeLines="50"/>
        <w:ind w:left="420" w:leftChars="0" w:hanging="420" w:firstLineChars="0"/>
        <w:rPr>
          <w:rFonts w:hint="eastAsia"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Case 2: Only inter-band SSB-less SCell enabling</w:t>
      </w:r>
    </w:p>
    <w:p>
      <w:pPr>
        <w:pStyle w:val="11"/>
        <w:numPr>
          <w:ilvl w:val="0"/>
          <w:numId w:val="12"/>
        </w:numPr>
        <w:tabs>
          <w:tab w:val="left" w:pos="226"/>
          <w:tab w:val="left" w:pos="284"/>
          <w:tab w:val="left" w:pos="5103"/>
        </w:tabs>
        <w:snapToGrid w:val="0"/>
        <w:spacing w:before="156" w:beforeLines="50"/>
        <w:ind w:left="420" w:leftChars="0" w:hanging="420" w:firstLineChars="0"/>
        <w:rPr>
          <w:rFonts w:hint="eastAsia"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Case 3: Both intra-band and inter-band SSB-less SCells enabling</w:t>
      </w:r>
    </w:p>
    <w:p>
      <w:pPr>
        <w:pStyle w:val="11"/>
        <w:numPr>
          <w:ilvl w:val="0"/>
          <w:numId w:val="0"/>
        </w:numPr>
        <w:tabs>
          <w:tab w:val="left" w:pos="226"/>
          <w:tab w:val="left" w:pos="284"/>
          <w:tab w:val="left" w:pos="5103"/>
        </w:tabs>
        <w:snapToGrid w:val="0"/>
        <w:spacing w:before="156" w:beforeLines="50"/>
        <w:ind w:leftChars="0"/>
        <w:rPr>
          <w:rFonts w:hint="eastAsia"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 xml:space="preserve">For Case 1, </w:t>
      </w:r>
      <w:r>
        <w:rPr>
          <w:rFonts w:hint="eastAsia" w:eastAsia="宋体" w:cs="Times New Roman"/>
          <w:szCs w:val="20"/>
          <w:lang w:val="en-US" w:eastAsia="zh-CN" w:bidi="ar-SA"/>
        </w:rPr>
        <w:t xml:space="preserve">just </w:t>
      </w:r>
      <w:r>
        <w:rPr>
          <w:rFonts w:hint="eastAsia" w:ascii="Times New Roman" w:hAnsi="Times New Roman" w:eastAsia="宋体" w:cs="Times New Roman"/>
          <w:szCs w:val="20"/>
          <w:lang w:val="en-US" w:eastAsia="zh-CN" w:bidi="ar-SA"/>
        </w:rPr>
        <w:t xml:space="preserve">completely apply R15 solution, i.e. NW configures intra-band QCL-C source, no reference cell indication. </w:t>
      </w:r>
    </w:p>
    <w:p>
      <w:pPr>
        <w:pStyle w:val="11"/>
        <w:tabs>
          <w:tab w:val="left" w:pos="226"/>
          <w:tab w:val="left" w:pos="284"/>
          <w:tab w:val="left" w:pos="5103"/>
        </w:tabs>
        <w:snapToGrid w:val="0"/>
        <w:spacing w:before="156" w:beforeLines="50"/>
        <w:rPr>
          <w:rFonts w:hint="eastAsia"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For Case 2, two sub cases</w:t>
      </w:r>
      <w:r>
        <w:rPr>
          <w:rFonts w:hint="eastAsia" w:eastAsia="宋体" w:cs="Times New Roman"/>
          <w:szCs w:val="20"/>
          <w:lang w:val="en-US" w:eastAsia="zh-CN" w:bidi="ar-SA"/>
        </w:rPr>
        <w:t xml:space="preserve"> are included and completely apply R18 solution</w:t>
      </w:r>
      <w:r>
        <w:rPr>
          <w:rFonts w:hint="eastAsia" w:ascii="Times New Roman" w:hAnsi="Times New Roman" w:eastAsia="宋体" w:cs="Times New Roman"/>
          <w:szCs w:val="20"/>
          <w:lang w:val="en-US" w:eastAsia="zh-CN" w:bidi="ar-SA"/>
        </w:rPr>
        <w:t xml:space="preserve">. </w:t>
      </w:r>
    </w:p>
    <w:p>
      <w:pPr>
        <w:pStyle w:val="11"/>
        <w:numPr>
          <w:ilvl w:val="0"/>
          <w:numId w:val="13"/>
        </w:numPr>
        <w:tabs>
          <w:tab w:val="left" w:pos="226"/>
          <w:tab w:val="left" w:pos="284"/>
          <w:tab w:val="left" w:pos="5103"/>
          <w:tab w:val="clear" w:pos="420"/>
        </w:tabs>
        <w:snapToGrid w:val="0"/>
        <w:spacing w:before="156" w:beforeLines="50"/>
        <w:ind w:left="840" w:leftChars="0" w:hanging="420" w:firstLineChars="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There is reference cell indication, it can only be inter-band active cell.</w:t>
      </w:r>
    </w:p>
    <w:p>
      <w:pPr>
        <w:pStyle w:val="11"/>
        <w:numPr>
          <w:ilvl w:val="0"/>
          <w:numId w:val="13"/>
        </w:numPr>
        <w:tabs>
          <w:tab w:val="left" w:pos="226"/>
          <w:tab w:val="left" w:pos="284"/>
          <w:tab w:val="left" w:pos="5103"/>
          <w:tab w:val="clear" w:pos="420"/>
        </w:tabs>
        <w:snapToGrid w:val="0"/>
        <w:spacing w:before="156" w:beforeLines="50"/>
        <w:ind w:left="840" w:leftChars="0" w:hanging="420" w:firstLineChars="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No reference cell indication, take QCL-C source as reference cell.</w:t>
      </w:r>
    </w:p>
    <w:p>
      <w:pPr>
        <w:pStyle w:val="11"/>
        <w:tabs>
          <w:tab w:val="left" w:pos="226"/>
          <w:tab w:val="left" w:pos="284"/>
          <w:tab w:val="left" w:pos="5103"/>
        </w:tabs>
        <w:snapToGrid w:val="0"/>
        <w:spacing w:before="156" w:beforeLines="5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For Case 3, SSB-less SCell 1 is in band A, SSB-less SCell 2 is in band B, six sub cases</w:t>
      </w:r>
      <w:r>
        <w:rPr>
          <w:rFonts w:hint="eastAsia" w:eastAsia="宋体" w:cs="Times New Roman"/>
          <w:szCs w:val="20"/>
          <w:lang w:val="en-US" w:eastAsia="zh-CN" w:bidi="ar-SA"/>
        </w:rPr>
        <w:t xml:space="preserve"> are included given that only a single QCL-C source configured for each SSB-less SCell</w:t>
      </w:r>
      <w:r>
        <w:rPr>
          <w:rFonts w:hint="eastAsia" w:ascii="Times New Roman" w:hAnsi="Times New Roman" w:eastAsia="宋体" w:cs="Times New Roman"/>
          <w:szCs w:val="20"/>
          <w:lang w:val="en-US" w:eastAsia="zh-CN" w:bidi="ar-SA"/>
        </w:rPr>
        <w:t>:</w:t>
      </w:r>
    </w:p>
    <w:p>
      <w:pPr>
        <w:pStyle w:val="11"/>
        <w:numPr>
          <w:ilvl w:val="0"/>
          <w:numId w:val="13"/>
        </w:numPr>
        <w:tabs>
          <w:tab w:val="left" w:pos="226"/>
          <w:tab w:val="left" w:pos="284"/>
          <w:tab w:val="left" w:pos="5103"/>
          <w:tab w:val="clear" w:pos="420"/>
        </w:tabs>
        <w:snapToGrid w:val="0"/>
        <w:spacing w:before="156" w:beforeLines="50"/>
        <w:ind w:left="840" w:leftChars="0" w:hanging="420" w:firstLineChars="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 xml:space="preserve">SSB-less SCell 1 is in intra-band SSB-less operation, the QCL-C source is in band A. SSB-less SCell 2 is in inter-band SSB-less operation, the QCL-C source/reference cell is in band A </w:t>
      </w:r>
    </w:p>
    <w:p>
      <w:pPr>
        <w:numPr>
          <w:ilvl w:val="0"/>
          <w:numId w:val="14"/>
        </w:numPr>
        <w:tabs>
          <w:tab w:val="clear" w:pos="840"/>
        </w:tabs>
        <w:ind w:left="1260" w:leftChars="0" w:hanging="420" w:firstLineChars="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The QCL-C source of SCell 1 and the QCL-C source of SCell 2 is same, no reference cell indication for SCell 2.</w:t>
      </w:r>
    </w:p>
    <w:p>
      <w:pPr>
        <w:numPr>
          <w:ilvl w:val="0"/>
          <w:numId w:val="14"/>
        </w:numPr>
        <w:tabs>
          <w:tab w:val="clear" w:pos="840"/>
        </w:tabs>
        <w:ind w:left="1260" w:leftChars="0" w:hanging="420" w:firstLineChars="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The QCL-C source of SCell 1 and the QCL-C source of SCell 2 is same, there is reference cell indication for SCell 2.</w:t>
      </w:r>
    </w:p>
    <w:p>
      <w:pPr>
        <w:numPr>
          <w:ilvl w:val="0"/>
          <w:numId w:val="14"/>
        </w:numPr>
        <w:tabs>
          <w:tab w:val="clear" w:pos="840"/>
        </w:tabs>
        <w:ind w:left="1260" w:leftChars="0" w:hanging="420" w:firstLineChars="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The QCL-C source of SCell 1 and the QCL-C source of SCell 2 is different, no reference cell indication for SCell 2.</w:t>
      </w:r>
      <w:r>
        <w:rPr>
          <w:rFonts w:hint="eastAsia" w:eastAsia="宋体" w:cs="Times New Roman"/>
          <w:szCs w:val="20"/>
          <w:lang w:val="en-US" w:eastAsia="zh-CN" w:bidi="ar-SA"/>
        </w:rPr>
        <w:t xml:space="preserve"> (seems corner case)</w:t>
      </w:r>
    </w:p>
    <w:p>
      <w:pPr>
        <w:numPr>
          <w:ilvl w:val="0"/>
          <w:numId w:val="14"/>
        </w:numPr>
        <w:tabs>
          <w:tab w:val="clear" w:pos="840"/>
        </w:tabs>
        <w:ind w:left="1260" w:leftChars="0" w:hanging="420" w:firstLineChars="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The QCL-C source of SCell 1 and the QCL-C source of SCell 2 is different, there is reference cell indication for SCell 2.</w:t>
      </w:r>
      <w:r>
        <w:rPr>
          <w:rFonts w:hint="eastAsia" w:eastAsia="宋体" w:cs="Times New Roman"/>
          <w:szCs w:val="20"/>
          <w:lang w:val="en-US" w:eastAsia="zh-CN" w:bidi="ar-SA"/>
        </w:rPr>
        <w:t xml:space="preserve"> (seems corner case)</w:t>
      </w:r>
    </w:p>
    <w:p>
      <w:pPr>
        <w:pStyle w:val="11"/>
        <w:numPr>
          <w:ilvl w:val="0"/>
          <w:numId w:val="13"/>
        </w:numPr>
        <w:tabs>
          <w:tab w:val="left" w:pos="226"/>
          <w:tab w:val="left" w:pos="284"/>
          <w:tab w:val="left" w:pos="5103"/>
          <w:tab w:val="clear" w:pos="420"/>
        </w:tabs>
        <w:snapToGrid w:val="0"/>
        <w:spacing w:before="156" w:beforeLines="50"/>
        <w:ind w:left="840" w:leftChars="0" w:hanging="420" w:firstLineChars="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 xml:space="preserve">SSB-less SCell 1 is </w:t>
      </w:r>
      <w:r>
        <w:rPr>
          <w:rFonts w:hint="eastAsia" w:eastAsia="宋体" w:cs="Times New Roman"/>
          <w:szCs w:val="20"/>
          <w:lang w:val="en-US" w:eastAsia="zh-CN" w:bidi="ar-SA"/>
        </w:rPr>
        <w:t xml:space="preserve">in </w:t>
      </w:r>
      <w:r>
        <w:rPr>
          <w:rFonts w:hint="eastAsia" w:ascii="Times New Roman" w:hAnsi="Times New Roman" w:eastAsia="宋体" w:cs="Times New Roman"/>
          <w:szCs w:val="20"/>
          <w:lang w:val="en-US" w:eastAsia="zh-CN" w:bidi="ar-SA"/>
        </w:rPr>
        <w:t xml:space="preserve">intra-band SSB-less operation, the QCL-C source is in band A, SSB-less SCell 2 is </w:t>
      </w:r>
      <w:r>
        <w:rPr>
          <w:rFonts w:hint="eastAsia" w:eastAsia="宋体" w:cs="Times New Roman"/>
          <w:szCs w:val="20"/>
          <w:lang w:val="en-US" w:eastAsia="zh-CN" w:bidi="ar-SA"/>
        </w:rPr>
        <w:t xml:space="preserve">in </w:t>
      </w:r>
      <w:r>
        <w:rPr>
          <w:rFonts w:hint="eastAsia" w:ascii="Times New Roman" w:hAnsi="Times New Roman" w:eastAsia="宋体" w:cs="Times New Roman"/>
          <w:szCs w:val="20"/>
          <w:lang w:val="en-US" w:eastAsia="zh-CN" w:bidi="ar-SA"/>
        </w:rPr>
        <w:t xml:space="preserve">inter-band SSB-less operation, the QCL-C source/reference cell is in band C </w:t>
      </w:r>
    </w:p>
    <w:p>
      <w:pPr>
        <w:numPr>
          <w:ilvl w:val="0"/>
          <w:numId w:val="14"/>
        </w:numPr>
        <w:tabs>
          <w:tab w:val="clear" w:pos="840"/>
        </w:tabs>
        <w:ind w:left="1260" w:leftChars="0" w:hanging="420" w:firstLineChars="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The QCL-C source of SCell 1 and the QCL-C source of SCell 2 is different, no reference cell indication for SCell 2.</w:t>
      </w:r>
    </w:p>
    <w:p>
      <w:pPr>
        <w:numPr>
          <w:ilvl w:val="0"/>
          <w:numId w:val="14"/>
        </w:numPr>
        <w:tabs>
          <w:tab w:val="clear" w:pos="840"/>
        </w:tabs>
        <w:ind w:left="1260" w:leftChars="0" w:hanging="420" w:firstLineChars="0"/>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The QCL-C source of SCell 1 and the QCL-C source of SCell 2 is different, there is reference cell indication for SCell 2.</w:t>
      </w:r>
    </w:p>
    <w:p>
      <w:pPr>
        <w:pStyle w:val="11"/>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szCs w:val="20"/>
          <w:lang w:val="en-US" w:eastAsia="zh-CN"/>
        </w:rPr>
        <w:t xml:space="preserve">As listed above, totally 9 cases are possible to happen even some of them seem corner case. For each of them, we observe no ambiguity as long as the general principle </w:t>
      </w:r>
      <w:r>
        <w:rPr>
          <w:rFonts w:hint="default" w:eastAsia="宋体"/>
          <w:szCs w:val="20"/>
          <w:lang w:val="en-US" w:eastAsia="zh-CN"/>
        </w:rPr>
        <w:t>“</w:t>
      </w:r>
      <w:r>
        <w:rPr>
          <w:lang w:eastAsia="ko-KR"/>
        </w:rPr>
        <w:t>It is not expected that the to-be-activated SCell is configured with QCL source to both intra-band contiguous and inter-band Cells</w:t>
      </w:r>
      <w:r>
        <w:rPr>
          <w:rFonts w:hint="default" w:eastAsia="宋体"/>
          <w:szCs w:val="20"/>
          <w:lang w:val="en-US" w:eastAsia="zh-CN"/>
        </w:rPr>
        <w:t>”</w:t>
      </w:r>
      <w:r>
        <w:rPr>
          <w:rFonts w:hint="eastAsia" w:eastAsia="宋体"/>
          <w:szCs w:val="20"/>
          <w:lang w:val="en-US" w:eastAsia="zh-CN"/>
        </w:rPr>
        <w:t xml:space="preserve"> is followed. Actually for each case, not need any extension besides existing R15 intra-band SSB-less/R18 inter-band SSB-less specification.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Observation 4: For the UE capable of both R15 intra-band SSB-less and R18 inter-band SSB-less, it is possible that only intra-band SSB-less enabled or only inter-band SSB-less enabled or both enabled by NW under co-located deployment. Totally 9 cases probably happen, and no ambiguity exists for each case provided a single QCL-C source configured for each SSB-less SCell.</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szCs w:val="20"/>
          <w:lang w:val="en-US" w:eastAsia="zh-CN"/>
        </w:rPr>
      </w:pPr>
      <w:r>
        <w:rPr>
          <w:rFonts w:hint="eastAsia" w:eastAsia="宋体"/>
          <w:szCs w:val="20"/>
          <w:lang w:val="en-US" w:eastAsia="zh-CN"/>
        </w:rPr>
        <w:t xml:space="preserve">While, during the R18 inter-band SSB-less discussion, the case of multiple QCL-C source is not precluded. To avoid ambiguity, once multiple QCL-C source configured for the SSB-less SCell, actually the explicit indication of reference cell is needed. Considering the mixture case, if two QCL-C source including both intra-band contiguous cell and inter-band cell are configured for a single SSB-less SCell, as long as the explicit reference cell indicated for this SSB-less SCell, then no ambiguity, the UE would follow R18 behavior, the indicated reference cell should be inter-band cell. The concerned case is that no explicit reference cell indicated for this SSB-less SCell, then the UE is confused whether to follow R15 behavior or R18 behavior. So as to avoid such confusion, the explicit reference cell indication is needed. Based on our analysis, once explicit reference cell indicated to UE, even both intra-band contiguous QCL-C source and inter-band QCL-C source configured for a single SSB-less SCell, the UE behavior is clear enough. But unfortunately, it seems that the R15 behavior can not be applicable under such situation. If company has concern on this point, we are fine to restrict such case. </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 xml:space="preserve">Observation 5: For the UE capable of both R15 intra-band SSB-less and R18 inter-band SSB-less, if both intra-band contiguous QCL-C source and inter-band QCL-C source configured for a single SSB-less SCell, no ambiguity as long as the explicit reference cell indicated to UE. But actually the R15 intra-band SSB-less operation is not always applicable. </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US" w:eastAsia="zh-CN"/>
        </w:rPr>
      </w:pPr>
      <w:r>
        <w:rPr>
          <w:rFonts w:hint="eastAsia" w:eastAsia="宋体"/>
          <w:szCs w:val="20"/>
          <w:lang w:val="en-US" w:eastAsia="zh-CN"/>
        </w:rPr>
        <w:t>At such maintenance phase, we believe the majority do not want to extend the existing either R15 mechanism or R18 mechanism. So as to avoid the above case that R15 operation would always miss, we are fine to restrict the controversial case, i.e. not allow a single to-be-activated SCell is configured with QCL source to both intra-band contiguous and inter-band Cells.</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
          <w:bCs/>
          <w:szCs w:val="20"/>
          <w:highlight w:val="none"/>
          <w:lang w:val="en-US" w:eastAsia="zh-CN"/>
        </w:rPr>
      </w:pPr>
      <w:r>
        <w:rPr>
          <w:rFonts w:hint="eastAsia" w:eastAsia="宋体"/>
          <w:b/>
          <w:bCs/>
          <w:szCs w:val="20"/>
          <w:highlight w:val="none"/>
          <w:lang w:val="en-US" w:eastAsia="zh-CN"/>
        </w:rPr>
        <w:t>Proposal 3: Following the general principle“It is not expected that the to-be-activated SCell is configured with QCL source to both intra-band contiguous and inter-band Cells”for each SSB-less SCell for any case. Not introduce any extension besides existing R15 intra-band SSB-less/R18 inter-band SSB-less operation.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b/>
          <w:u w:val="single"/>
          <w:lang w:eastAsia="ko-KR"/>
        </w:rPr>
      </w:pP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b/>
          <w:u w:val="single"/>
          <w:lang w:eastAsia="ko-KR"/>
        </w:rPr>
      </w:pPr>
      <w:r>
        <w:rPr>
          <w:b/>
          <w:u w:val="single"/>
          <w:lang w:eastAsia="ko-KR"/>
        </w:rPr>
        <w:t>Neighbor cells on carrier of SSB-less SCell</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For the SSB-less SCell, since no SSB transmission, so how to specify the neighbour cell as intra-frequency measurement or inter-frequency measurement, which should be discussed. In legacy RRM measurement, intra-frequency measurement is defined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pPr>
            <w:r>
              <w:t>9.2</w:t>
            </w:r>
            <w:r>
              <w:tab/>
            </w:r>
            <w:r>
              <w:t>NR intra-frequency measurements</w:t>
            </w:r>
          </w:p>
          <w:p>
            <w:pPr>
              <w:pStyle w:val="4"/>
            </w:pPr>
            <w:r>
              <w:t>9.2.1</w:t>
            </w:r>
            <w:r>
              <w:tab/>
            </w:r>
            <w:r>
              <w:t>Introduction</w:t>
            </w:r>
          </w:p>
          <w:p>
            <w:pPr>
              <w:rPr>
                <w:rFonts w:hint="default" w:eastAsia="宋体"/>
                <w:szCs w:val="20"/>
                <w:vertAlign w:val="baseline"/>
                <w:lang w:val="en-US" w:eastAsia="ko-KR"/>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Since the absence of SSB of the SSB-less SCell, we can not directly reuse this principle to decide intra-f or inter-f measurement of a neighbour cell. Some company proposed to use the following principle to identify the intra-f measurement: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vertAlign w:val="baseline"/>
                <w:lang w:val="en-US" w:eastAsia="ko-KR"/>
              </w:rPr>
            </w:pPr>
            <w:r>
              <w:rPr>
                <w:rFonts w:eastAsia="宋体"/>
                <w:szCs w:val="24"/>
                <w:lang w:eastAsia="zh-CN"/>
              </w:rPr>
              <w:t>Option 1: If neighbor cells on carrier of SSB-less SCell have SSB transmission, the measurement for those neighbor cells shall be treated as intra-frequency measurement as long as the SSBs from those neighbor cells can be contained in the active BWP of SSB-less SCell.</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Generally we are fine with such assumption, since of no serving cell SSB in the SSB-less SCell to reference, it seems that the only reference has to be the active BWP of the SSB-less SCell. So it is natural to distinguish the intra-f/inter-f based on whether the active BWP fully contains the SSB of neighbout cell or not. Furthermore, based on such distinguish, whether the SSB based neighbour cell measurement needs the help of gap, it is also clear. That is, if the SSB based neighbour cell measurement is deemed as intra-f measurement, then no gap is needed. Otherwise, when the SSB based neighbout cell measurement is deems as inter-f measurmenet, then gap is needed.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4: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u w:val="single"/>
          <w:lang w:val="en-US" w:eastAsia="zh-CN"/>
        </w:rPr>
      </w:pPr>
      <w:r>
        <w:rPr>
          <w:b/>
          <w:u w:val="single"/>
          <w:lang w:eastAsia="ko-KR"/>
        </w:rPr>
        <w:t xml:space="preserve">Intra-band </w:t>
      </w:r>
      <w:r>
        <w:rPr>
          <w:rFonts w:hint="eastAsia" w:eastAsia="宋体"/>
          <w:b/>
          <w:u w:val="single"/>
          <w:lang w:val="en-US" w:eastAsia="zh-CN"/>
        </w:rPr>
        <w:t>non-contiguous CA</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szCs w:val="20"/>
          <w:lang w:val="en-US" w:eastAsia="zh-CN"/>
        </w:rPr>
      </w:pPr>
      <w:r>
        <w:rPr>
          <w:rFonts w:hint="eastAsia" w:eastAsia="宋体"/>
          <w:szCs w:val="20"/>
          <w:lang w:val="en-US" w:eastAsia="zh-CN"/>
        </w:rPr>
        <w:t>In last meeting, this issue was discussed. In legacy R16/17, the SSB-less SCell activation operation is allowed in FR1 intra-band contiguous CA given the side considtions met. And in this R18 WID, the SSB-less SCell activation operation is further extended to be applicable in FR1 inter-band CA. So it seems that the scenario of intra-band non-contiguous CA is vacent. The following options were proposed by the proponent of this scenario in last meeting: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2"/>
              <w:keepNext w:val="0"/>
              <w:keepLines w:val="0"/>
              <w:pageBreakBefore w:val="0"/>
              <w:widowControl w:val="0"/>
              <w:numPr>
                <w:ilvl w:val="0"/>
                <w:numId w:val="7"/>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 xml:space="preserve">Option 6: </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only assuming separate chains and reuse largely the requirements specified for inter-band cases;</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UE optional capability signalling for intra-band NCCA SSB-less SCell operations in a similar way as for inter-band cases;</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UE with single chain implementation does not indicate support for intra-band NCCA SSB-less SCell operations and does not need to meet the requirements.</w:t>
            </w:r>
          </w:p>
          <w:p>
            <w:pPr>
              <w:pStyle w:val="32"/>
              <w:keepNext w:val="0"/>
              <w:keepLines w:val="0"/>
              <w:pageBreakBefore w:val="0"/>
              <w:widowControl w:val="0"/>
              <w:numPr>
                <w:ilvl w:val="0"/>
                <w:numId w:val="7"/>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7:</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two sets of requirements respectively assuming single and separate chains, where one of the sets reuse largely the requirements specified for inter-band cases;</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UE optional capability signalling for two different implementations separately;</w:t>
            </w:r>
          </w:p>
          <w:p>
            <w:pPr>
              <w:pStyle w:val="32"/>
              <w:keepNext w:val="0"/>
              <w:keepLines w:val="0"/>
              <w:pageBreakBefore w:val="0"/>
              <w:widowControl w:val="0"/>
              <w:numPr>
                <w:ilvl w:val="1"/>
                <w:numId w:val="7"/>
              </w:numPr>
              <w:kinsoku/>
              <w:wordWrap/>
              <w:overflowPunct/>
              <w:topLinePunct w:val="0"/>
              <w:autoSpaceDE/>
              <w:autoSpaceDN/>
              <w:bidi w:val="0"/>
              <w:adjustRightInd/>
              <w:snapToGrid/>
              <w:ind w:left="1656" w:leftChars="0" w:hanging="363" w:firstLineChars="0"/>
              <w:textAlignment w:val="auto"/>
              <w:rPr>
                <w:rFonts w:hint="default" w:eastAsia="宋体"/>
                <w:szCs w:val="20"/>
                <w:vertAlign w:val="baseline"/>
                <w:lang w:val="en-US" w:eastAsia="zh-CN"/>
              </w:rPr>
            </w:pPr>
            <w:r>
              <w:rPr>
                <w:rFonts w:eastAsia="宋体"/>
                <w:szCs w:val="24"/>
                <w:lang w:eastAsia="zh-CN"/>
              </w:rPr>
              <w:t>Different UE implementations are required to meet different sets of requirements correspondingly.</w:t>
            </w:r>
          </w:p>
        </w:tc>
      </w:tr>
    </w:tbl>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US" w:eastAsia="zh-CN"/>
        </w:rPr>
      </w:pPr>
      <w:r>
        <w:rPr>
          <w:rFonts w:hint="eastAsia" w:eastAsia="宋体"/>
          <w:szCs w:val="20"/>
          <w:lang w:val="en-US" w:eastAsia="zh-CN"/>
        </w:rPr>
        <w:t>Companies were diverse on the assumption of RF chain, whether single or separate chains is assumed. To move forward, we prefer to specify two sets of requirements respectively assuming single and separate chains, where the requirements of inter-band case are largely reused for the separate chains assumption, and the requriements of intra-band contiguous case are largely reused for the single chain assumtpion. Accordingly, two optional UE capabilities refers to the two cases. Once UE supports any UE capability, then UE should meet the relevant activation delay requirements. If neither of them supported by the UE, then UE does not support the SSB-less SCell activation for intra-band non-contiguous CA. We believe this is the compromised solution considering different UE implementation architecture.</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
          <w:bCs/>
          <w:szCs w:val="20"/>
          <w:highlight w:val="none"/>
          <w:lang w:val="en-US" w:eastAsia="zh-CN"/>
        </w:rPr>
      </w:pPr>
      <w:r>
        <w:rPr>
          <w:rFonts w:hint="eastAsia" w:eastAsia="宋体"/>
          <w:b/>
          <w:bCs/>
          <w:szCs w:val="20"/>
          <w:highlight w:val="none"/>
          <w:lang w:val="en-US" w:eastAsia="zh-CN"/>
        </w:rPr>
        <w:t>Proposal 5: To move forward, we prefer to specify two sets of requirements respectively assuming single and separate chains, where the requirements of inter-band case are largely reused for the separate chains assumption, and the requirements of intra-band contiguous case are largely reused for the single chain assumption. Two optional UE capabilities refers to the two cases. If neither of them supported by the UE, then UE does not support the SSB-less SCell activation for intra-band non-contiguous CA.</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GB" w:eastAsia="zh-CN"/>
        </w:rPr>
      </w:pPr>
      <w:r>
        <w:rPr>
          <w:rFonts w:hint="default" w:eastAsia="宋体"/>
          <w:szCs w:val="20"/>
          <w:lang w:val="en-GB" w:eastAsia="zh-CN"/>
        </w:rPr>
        <w:t xml:space="preserve">In this </w:t>
      </w:r>
      <w:r>
        <w:rPr>
          <w:rFonts w:hint="eastAsia" w:eastAsia="宋体"/>
          <w:szCs w:val="20"/>
          <w:lang w:val="en-US" w:eastAsia="zh-CN"/>
        </w:rPr>
        <w:t>contribution</w:t>
      </w:r>
      <w:r>
        <w:rPr>
          <w:rFonts w:hint="default" w:eastAsia="宋体"/>
          <w:szCs w:val="20"/>
          <w:lang w:val="en-GB" w:eastAsia="zh-CN"/>
        </w:rPr>
        <w:t>, we have the following proposals</w:t>
      </w:r>
      <w:r>
        <w:rPr>
          <w:rFonts w:hint="eastAsia" w:eastAsia="宋体"/>
          <w:szCs w:val="20"/>
          <w:lang w:val="en-US" w:eastAsia="zh-CN"/>
        </w:rPr>
        <w:t xml:space="preserve"> </w:t>
      </w:r>
      <w:r>
        <w:rPr>
          <w:rFonts w:hint="default" w:eastAsia="宋体"/>
          <w:szCs w:val="20"/>
          <w:lang w:val="en-GB" w:eastAsia="zh-CN"/>
        </w:rPr>
        <w:t xml:space="preserve">for </w:t>
      </w:r>
      <w:r>
        <w:rPr>
          <w:rFonts w:hint="eastAsia" w:eastAsia="宋体"/>
          <w:szCs w:val="20"/>
          <w:lang w:val="en-US" w:eastAsia="zh-CN"/>
        </w:rPr>
        <w:t>the Network power saving</w:t>
      </w:r>
      <w:r>
        <w:rPr>
          <w:rFonts w:hint="default" w:eastAsia="宋体"/>
          <w:szCs w:val="20"/>
          <w:lang w:val="en-GB" w:eastAsia="zh-CN"/>
        </w:rPr>
        <w:t>:</w:t>
      </w:r>
    </w:p>
    <w:p>
      <w:pPr>
        <w:rPr>
          <w:rFonts w:hint="eastAsia" w:eastAsia="宋体"/>
          <w:b/>
          <w:bCs/>
          <w:szCs w:val="20"/>
          <w:highlight w:val="none"/>
          <w:lang w:val="en-US" w:eastAsia="zh-CN"/>
        </w:rPr>
      </w:pPr>
      <w:r>
        <w:rPr>
          <w:rFonts w:hint="eastAsia" w:eastAsia="宋体"/>
          <w:b/>
          <w:bCs/>
          <w:szCs w:val="20"/>
          <w:highlight w:val="none"/>
          <w:lang w:val="en-US" w:eastAsia="zh-CN"/>
        </w:rPr>
        <w:t>Observation 1: The principle of only allowing a single set of condition and a single relevant requirements was identified in previous meeting.</w:t>
      </w:r>
    </w:p>
    <w:p>
      <w:pPr>
        <w:rPr>
          <w:rFonts w:hint="eastAsia" w:eastAsia="宋体"/>
          <w:b/>
          <w:bCs/>
          <w:szCs w:val="20"/>
          <w:highlight w:val="none"/>
          <w:lang w:val="en-US" w:eastAsia="zh-CN"/>
        </w:rPr>
      </w:pPr>
      <w:r>
        <w:rPr>
          <w:rFonts w:hint="eastAsia" w:eastAsia="宋体"/>
          <w:b/>
          <w:bCs/>
          <w:szCs w:val="20"/>
          <w:highlight w:val="none"/>
          <w:lang w:val="en-US" w:eastAsia="zh-CN"/>
        </w:rPr>
        <w:t>Observation 2: At this maintenance state, overriding previous requirement should be cautious.</w:t>
      </w:r>
    </w:p>
    <w:p>
      <w:pPr>
        <w:rPr>
          <w:rFonts w:hint="default" w:eastAsia="宋体" w:cs="Times New Roman"/>
          <w:szCs w:val="20"/>
          <w:lang w:val="en-US" w:eastAsia="zh-CN" w:bidi="ar-SA"/>
        </w:rPr>
      </w:pPr>
      <w:r>
        <w:rPr>
          <w:rFonts w:hint="eastAsia" w:eastAsia="宋体"/>
          <w:b/>
          <w:bCs/>
          <w:szCs w:val="20"/>
          <w:highlight w:val="none"/>
          <w:lang w:val="en-US" w:eastAsia="zh-CN"/>
        </w:rPr>
        <w:t xml:space="preserve">Proposal 1: Compared with all the options, Option 1 and Option 2 are preferred by us. </w:t>
      </w:r>
    </w:p>
    <w:p>
      <w:pPr>
        <w:rPr>
          <w:rFonts w:hint="eastAsia" w:eastAsia="宋体"/>
          <w:b/>
          <w:bCs/>
          <w:szCs w:val="20"/>
          <w:highlight w:val="none"/>
          <w:lang w:val="en-US" w:eastAsia="zh-CN"/>
        </w:rPr>
      </w:pPr>
      <w:r>
        <w:rPr>
          <w:rFonts w:hint="eastAsia" w:eastAsia="宋体"/>
          <w:b/>
          <w:bCs/>
          <w:szCs w:val="20"/>
          <w:highlight w:val="none"/>
          <w:lang w:val="en-US" w:eastAsia="zh-CN"/>
        </w:rPr>
        <w:t xml:space="preserve">Proposal 2: For multiple SSB-less SCell activation contiguous in the same band, and all SSB-less SCells have same QCL source cell, </w:t>
      </w:r>
    </w:p>
    <w:p>
      <w:pPr>
        <w:numPr>
          <w:ilvl w:val="0"/>
          <w:numId w:val="11"/>
        </w:numPr>
        <w:ind w:left="420" w:leftChars="0" w:hanging="420" w:firstLineChars="0"/>
        <w:rPr>
          <w:rFonts w:hint="default" w:eastAsia="宋体"/>
          <w:b/>
          <w:bCs/>
          <w:szCs w:val="20"/>
          <w:highlight w:val="none"/>
          <w:lang w:val="en-US" w:eastAsia="zh-CN"/>
        </w:rPr>
      </w:pPr>
      <w:r>
        <w:rPr>
          <w:rFonts w:hint="eastAsia" w:eastAsia="宋体"/>
          <w:b/>
          <w:bCs/>
          <w:szCs w:val="20"/>
          <w:highlight w:val="none"/>
          <w:lang w:val="en-US" w:eastAsia="zh-CN"/>
        </w:rPr>
        <w:t>For P-TRS based activation, the multiple SCell activation delay requirements are based on TRS with the shortest periodicity.</w:t>
      </w:r>
    </w:p>
    <w:p>
      <w:pPr>
        <w:numPr>
          <w:ilvl w:val="0"/>
          <w:numId w:val="11"/>
        </w:numPr>
        <w:ind w:left="420" w:leftChars="0" w:hanging="420" w:firstLineChars="0"/>
        <w:rPr>
          <w:rFonts w:hint="default" w:eastAsia="宋体" w:cs="Times New Roman"/>
          <w:szCs w:val="20"/>
          <w:lang w:val="en-US" w:eastAsia="zh-CN" w:bidi="ar-SA"/>
        </w:rPr>
      </w:pPr>
      <w:r>
        <w:rPr>
          <w:rFonts w:hint="eastAsia" w:eastAsia="宋体"/>
          <w:b/>
          <w:bCs/>
          <w:szCs w:val="20"/>
          <w:highlight w:val="none"/>
          <w:lang w:val="en-US" w:eastAsia="zh-CN"/>
        </w:rPr>
        <w:t>For A-TRS based activation, applying single SSB-less SCell activation requirements for each SCell respectively.</w:t>
      </w:r>
    </w:p>
    <w:p>
      <w:pPr>
        <w:rPr>
          <w:rFonts w:hint="eastAsia" w:eastAsia="宋体"/>
          <w:szCs w:val="20"/>
          <w:lang w:val="en-US" w:eastAsia="zh-CN"/>
        </w:rPr>
      </w:pPr>
      <w:r>
        <w:rPr>
          <w:rFonts w:hint="eastAsia" w:eastAsia="宋体"/>
          <w:b/>
          <w:bCs/>
          <w:szCs w:val="20"/>
          <w:highlight w:val="none"/>
          <w:lang w:val="en-US" w:eastAsia="zh-CN"/>
        </w:rPr>
        <w:t>Observation 3: Only the UE capable of both R15 intra-band SSB-less operation and R18 inter-band SSB-less operation has to face such mixture case.</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Observation 4: For the UE capable of both R15 intra-band SSB-less and R18 inter-band SSB-less, it is possible that only intra-band SSB-less enabled or only inter-band SSB-less enabled or both enabled by NW under co-located deployment. Totally 9 cases probably happen, and no ambiguity exists for each case provided a single QCL-C source configured for each SSB-less SCell.</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 xml:space="preserve">Observation 5: For the UE capable of both R15 intra-band SSB-less and R18 inter-band SSB-less, if both intra-band contiguous QCL-C source and inter-band QCL-C source configured for a single SSB-less SCell, no ambiguity as long as the explicit reference cell indicated to UE. But actually the R15 intra-band SSB-less operation is not always applicable. </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
          <w:bCs/>
          <w:szCs w:val="20"/>
          <w:highlight w:val="none"/>
          <w:lang w:val="en-US" w:eastAsia="zh-CN"/>
        </w:rPr>
      </w:pPr>
      <w:r>
        <w:rPr>
          <w:rFonts w:hint="eastAsia" w:eastAsia="宋体"/>
          <w:b/>
          <w:bCs/>
          <w:szCs w:val="20"/>
          <w:highlight w:val="none"/>
          <w:lang w:val="en-US" w:eastAsia="zh-CN"/>
        </w:rPr>
        <w:t>Proposal 3: Following the general principle“It is not expected that the to-be-activated SCell is configured with QCL source to both intra-band contiguous and inter-band Cells”for each SSB-less SCell for any case. Not introduce any extension besides existing R15 intra-band SSB-less/R18 inter-band SSB-less operation.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4: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GB" w:eastAsia="zh-CN"/>
        </w:rPr>
      </w:pPr>
      <w:r>
        <w:rPr>
          <w:rFonts w:hint="eastAsia" w:eastAsia="宋体"/>
          <w:b/>
          <w:bCs/>
          <w:szCs w:val="20"/>
          <w:highlight w:val="none"/>
          <w:lang w:val="en-US" w:eastAsia="zh-CN"/>
        </w:rPr>
        <w:t>Proposal 5: To move forward, we prefer to specify two sets of requirements respectively assuming single and separate chains, where the requirements of inter-band case are largely reused for the separate chains assumption, and the requirements of intra-band contiguous case are largely reused for the single chain assumption. Two optional UE capabilities refers to the two cases. If neither of them supported by the UE, then UE does not support the SSB-less SCell activation for intra-band non-contiguous CA.</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6"/>
        <w:numPr>
          <w:ilvl w:val="0"/>
          <w:numId w:val="15"/>
        </w:numPr>
        <w:ind w:left="0"/>
        <w:rPr>
          <w:lang w:val="en-US"/>
        </w:rPr>
      </w:pPr>
      <w:r>
        <w:rPr>
          <w:rFonts w:hint="eastAsia"/>
          <w:lang w:val="en-US" w:eastAsia="zh-CN"/>
        </w:rPr>
        <w:t xml:space="preserve">R4-2410269, </w:t>
      </w:r>
      <w:r>
        <w:rPr>
          <w:rFonts w:hint="default"/>
          <w:lang w:val="en-US" w:eastAsia="zh-CN"/>
        </w:rPr>
        <w:t>“WF on RRM requirements for NR network energy saving”</w:t>
      </w:r>
      <w:r>
        <w:rPr>
          <w:rFonts w:hint="eastAsia"/>
          <w:lang w:val="en-US" w:eastAsia="zh-CN"/>
        </w:rPr>
        <w:t>, Huawei</w:t>
      </w:r>
    </w:p>
    <w:p>
      <w:pPr>
        <w:pStyle w:val="6"/>
        <w:numPr>
          <w:ilvl w:val="0"/>
          <w:numId w:val="15"/>
        </w:numPr>
        <w:ind w:left="0"/>
        <w:rPr>
          <w:lang w:val="en-US"/>
        </w:rPr>
      </w:pPr>
      <w:r>
        <w:rPr>
          <w:rFonts w:hint="eastAsia"/>
          <w:lang w:val="en-US" w:eastAsia="zh-CN"/>
        </w:rPr>
        <w:t>TS 38.133 v18.5.0</w:t>
      </w:r>
    </w:p>
    <w:p>
      <w:pPr>
        <w:pStyle w:val="6"/>
        <w:numPr>
          <w:ilvl w:val="0"/>
          <w:numId w:val="0"/>
        </w:numPr>
        <w:rPr>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D0CA652"/>
    <w:multiLevelType w:val="multilevel"/>
    <w:tmpl w:val="BD0CA652"/>
    <w:lvl w:ilvl="0" w:tentative="0">
      <w:start w:val="1"/>
      <w:numFmt w:val="decimal"/>
      <w:pStyle w:val="67"/>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CC3CA50B"/>
    <w:multiLevelType w:val="singleLevel"/>
    <w:tmpl w:val="CC3CA50B"/>
    <w:lvl w:ilvl="0" w:tentative="0">
      <w:start w:val="1"/>
      <w:numFmt w:val="bullet"/>
      <w:lvlText w:val=""/>
      <w:lvlJc w:val="left"/>
      <w:pPr>
        <w:ind w:left="420" w:hanging="420"/>
      </w:pPr>
      <w:rPr>
        <w:rFonts w:hint="default" w:ascii="Wingdings" w:hAnsi="Wingdings"/>
      </w:rPr>
    </w:lvl>
  </w:abstractNum>
  <w:abstractNum w:abstractNumId="3">
    <w:nsid w:val="DF426F52"/>
    <w:multiLevelType w:val="singleLevel"/>
    <w:tmpl w:val="DF426F52"/>
    <w:lvl w:ilvl="0" w:tentative="0">
      <w:start w:val="1"/>
      <w:numFmt w:val="bullet"/>
      <w:lvlText w:val=""/>
      <w:lvlJc w:val="left"/>
      <w:pPr>
        <w:tabs>
          <w:tab w:val="left" w:pos="420"/>
        </w:tabs>
        <w:ind w:left="840" w:hanging="420"/>
      </w:pPr>
      <w:rPr>
        <w:rFonts w:hint="default" w:ascii="Wingdings" w:hAnsi="Wingdings"/>
      </w:rPr>
    </w:lvl>
  </w:abstractNum>
  <w:abstractNum w:abstractNumId="4">
    <w:nsid w:val="E28CB1A8"/>
    <w:multiLevelType w:val="singleLevel"/>
    <w:tmpl w:val="E28CB1A8"/>
    <w:lvl w:ilvl="0" w:tentative="0">
      <w:start w:val="1"/>
      <w:numFmt w:val="bullet"/>
      <w:lvlText w:val=""/>
      <w:lvlJc w:val="left"/>
      <w:pPr>
        <w:ind w:left="420" w:hanging="420"/>
      </w:pPr>
      <w:rPr>
        <w:rFonts w:hint="default" w:ascii="Wingdings" w:hAnsi="Wingdings"/>
      </w:rPr>
    </w:lvl>
  </w:abstractNum>
  <w:abstractNum w:abstractNumId="5">
    <w:nsid w:val="0D580D97"/>
    <w:multiLevelType w:val="multilevel"/>
    <w:tmpl w:val="0D580D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1E9F60EC"/>
    <w:multiLevelType w:val="multilevel"/>
    <w:tmpl w:val="1E9F60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363FAD2"/>
    <w:multiLevelType w:val="singleLevel"/>
    <w:tmpl w:val="4363FAD2"/>
    <w:lvl w:ilvl="0" w:tentative="0">
      <w:start w:val="1"/>
      <w:numFmt w:val="bullet"/>
      <w:lvlText w:val=""/>
      <w:lvlJc w:val="left"/>
      <w:pPr>
        <w:tabs>
          <w:tab w:val="left" w:pos="840"/>
        </w:tabs>
        <w:ind w:left="1260" w:hanging="420"/>
      </w:pPr>
      <w:rPr>
        <w:rFonts w:hint="default" w:ascii="Wingdings" w:hAnsi="Wingdings"/>
      </w:rPr>
    </w:lvl>
  </w:abstractNum>
  <w:abstractNum w:abstractNumId="9">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D177F5E"/>
    <w:multiLevelType w:val="multilevel"/>
    <w:tmpl w:val="5D177F5E"/>
    <w:lvl w:ilvl="0" w:tentative="0">
      <w:start w:val="1"/>
      <w:numFmt w:val="decimal"/>
      <w:pStyle w:val="6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2">
    <w:nsid w:val="5D194922"/>
    <w:multiLevelType w:val="multilevel"/>
    <w:tmpl w:val="5D194922"/>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91CEDA7"/>
    <w:multiLevelType w:val="singleLevel"/>
    <w:tmpl w:val="691CEDA7"/>
    <w:lvl w:ilvl="0" w:tentative="0">
      <w:start w:val="1"/>
      <w:numFmt w:val="bullet"/>
      <w:lvlText w:val=""/>
      <w:lvlJc w:val="left"/>
      <w:pPr>
        <w:tabs>
          <w:tab w:val="left" w:pos="420"/>
        </w:tabs>
        <w:ind w:left="840" w:hanging="420"/>
      </w:pPr>
      <w:rPr>
        <w:rFonts w:hint="default" w:ascii="Wingdings" w:hAnsi="Wingdings"/>
      </w:rPr>
    </w:lvl>
  </w:abstractNum>
  <w:abstractNum w:abstractNumId="14">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4"/>
  </w:num>
  <w:num w:numId="2">
    <w:abstractNumId w:val="9"/>
  </w:num>
  <w:num w:numId="3">
    <w:abstractNumId w:val="1"/>
  </w:num>
  <w:num w:numId="4">
    <w:abstractNumId w:val="11"/>
  </w:num>
  <w:num w:numId="5">
    <w:abstractNumId w:val="6"/>
  </w:num>
  <w:num w:numId="6">
    <w:abstractNumId w:val="7"/>
  </w:num>
  <w:num w:numId="7">
    <w:abstractNumId w:val="10"/>
  </w:num>
  <w:num w:numId="8">
    <w:abstractNumId w:val="5"/>
  </w:num>
  <w:num w:numId="9">
    <w:abstractNumId w:val="12"/>
  </w:num>
  <w:num w:numId="10">
    <w:abstractNumId w:val="3"/>
  </w:num>
  <w:num w:numId="11">
    <w:abstractNumId w:val="4"/>
  </w:num>
  <w:num w:numId="12">
    <w:abstractNumId w:val="2"/>
  </w:num>
  <w:num w:numId="13">
    <w:abstractNumId w:val="13"/>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40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B27"/>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7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4E"/>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0FB3"/>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0864"/>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53C9"/>
    <w:rsid w:val="00A87B21"/>
    <w:rsid w:val="00A92AAF"/>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D7F79"/>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ADC"/>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065B"/>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3C5C"/>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50E"/>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80F"/>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4810E2"/>
    <w:rsid w:val="028B6A1D"/>
    <w:rsid w:val="028F1C3E"/>
    <w:rsid w:val="0350291B"/>
    <w:rsid w:val="037D0CB3"/>
    <w:rsid w:val="037E115D"/>
    <w:rsid w:val="03D4720A"/>
    <w:rsid w:val="03DB6C44"/>
    <w:rsid w:val="041B2BF5"/>
    <w:rsid w:val="04620396"/>
    <w:rsid w:val="04654053"/>
    <w:rsid w:val="04664537"/>
    <w:rsid w:val="04793516"/>
    <w:rsid w:val="047A3CFF"/>
    <w:rsid w:val="050445C9"/>
    <w:rsid w:val="05317828"/>
    <w:rsid w:val="05477E90"/>
    <w:rsid w:val="05BB5AB9"/>
    <w:rsid w:val="05C42923"/>
    <w:rsid w:val="0654683F"/>
    <w:rsid w:val="06595E1C"/>
    <w:rsid w:val="066D17FF"/>
    <w:rsid w:val="06963BA6"/>
    <w:rsid w:val="06DE38DC"/>
    <w:rsid w:val="07C8213D"/>
    <w:rsid w:val="07CD3CDD"/>
    <w:rsid w:val="082E3C03"/>
    <w:rsid w:val="0855671D"/>
    <w:rsid w:val="089009EB"/>
    <w:rsid w:val="096E699E"/>
    <w:rsid w:val="09716BCA"/>
    <w:rsid w:val="09D64B23"/>
    <w:rsid w:val="09E644B8"/>
    <w:rsid w:val="0A624B8D"/>
    <w:rsid w:val="0A6E7A03"/>
    <w:rsid w:val="0AA30F70"/>
    <w:rsid w:val="0B12013A"/>
    <w:rsid w:val="0B3C38BD"/>
    <w:rsid w:val="0B3D3C2F"/>
    <w:rsid w:val="0BB0429A"/>
    <w:rsid w:val="0BFF5FC6"/>
    <w:rsid w:val="0C394019"/>
    <w:rsid w:val="0D2A60F1"/>
    <w:rsid w:val="0E101265"/>
    <w:rsid w:val="0E352832"/>
    <w:rsid w:val="0E6A489D"/>
    <w:rsid w:val="0F317852"/>
    <w:rsid w:val="0FDB2428"/>
    <w:rsid w:val="0FDE07F8"/>
    <w:rsid w:val="10997F43"/>
    <w:rsid w:val="10B412F6"/>
    <w:rsid w:val="10DE7BAE"/>
    <w:rsid w:val="112E04B1"/>
    <w:rsid w:val="118C78B6"/>
    <w:rsid w:val="11D90C6C"/>
    <w:rsid w:val="11EE781B"/>
    <w:rsid w:val="120774A3"/>
    <w:rsid w:val="12201600"/>
    <w:rsid w:val="12503E08"/>
    <w:rsid w:val="128749DF"/>
    <w:rsid w:val="12A6623E"/>
    <w:rsid w:val="12DF4CD8"/>
    <w:rsid w:val="13283295"/>
    <w:rsid w:val="13811C50"/>
    <w:rsid w:val="13971F9B"/>
    <w:rsid w:val="14005BC9"/>
    <w:rsid w:val="14006D19"/>
    <w:rsid w:val="141E2261"/>
    <w:rsid w:val="14337DBF"/>
    <w:rsid w:val="1481754F"/>
    <w:rsid w:val="148F5721"/>
    <w:rsid w:val="14AC57CD"/>
    <w:rsid w:val="14E462A4"/>
    <w:rsid w:val="15ED3E9B"/>
    <w:rsid w:val="164514BE"/>
    <w:rsid w:val="16605572"/>
    <w:rsid w:val="166A7EA2"/>
    <w:rsid w:val="169254EE"/>
    <w:rsid w:val="16A82401"/>
    <w:rsid w:val="16E54220"/>
    <w:rsid w:val="170F06AA"/>
    <w:rsid w:val="17182C2F"/>
    <w:rsid w:val="17225508"/>
    <w:rsid w:val="180A6E32"/>
    <w:rsid w:val="183F2CD2"/>
    <w:rsid w:val="1856323E"/>
    <w:rsid w:val="18AE24BE"/>
    <w:rsid w:val="18AF55E3"/>
    <w:rsid w:val="18B1519A"/>
    <w:rsid w:val="18CD0507"/>
    <w:rsid w:val="18F44CFE"/>
    <w:rsid w:val="195D7D48"/>
    <w:rsid w:val="19E431C5"/>
    <w:rsid w:val="1A885AE6"/>
    <w:rsid w:val="1A9366B0"/>
    <w:rsid w:val="1ABD5FCB"/>
    <w:rsid w:val="1AD01A1B"/>
    <w:rsid w:val="1B1557CF"/>
    <w:rsid w:val="1B336258"/>
    <w:rsid w:val="1B61065A"/>
    <w:rsid w:val="1BB1405F"/>
    <w:rsid w:val="1BBF3927"/>
    <w:rsid w:val="1BCB6881"/>
    <w:rsid w:val="1C1142CA"/>
    <w:rsid w:val="1C177B08"/>
    <w:rsid w:val="1C9001C6"/>
    <w:rsid w:val="1CBA2101"/>
    <w:rsid w:val="1D0573D7"/>
    <w:rsid w:val="1D070CB6"/>
    <w:rsid w:val="1D153DC4"/>
    <w:rsid w:val="1D223E0B"/>
    <w:rsid w:val="1D9C0FDE"/>
    <w:rsid w:val="1DE44483"/>
    <w:rsid w:val="1DF03D7C"/>
    <w:rsid w:val="1E132F88"/>
    <w:rsid w:val="1E2867E9"/>
    <w:rsid w:val="1E853F6F"/>
    <w:rsid w:val="1E9C7BCC"/>
    <w:rsid w:val="1ECC1E3C"/>
    <w:rsid w:val="1EE3677D"/>
    <w:rsid w:val="1F002471"/>
    <w:rsid w:val="1F1C5EEC"/>
    <w:rsid w:val="1F396C30"/>
    <w:rsid w:val="1F8B6954"/>
    <w:rsid w:val="200825A0"/>
    <w:rsid w:val="20100E94"/>
    <w:rsid w:val="204E740F"/>
    <w:rsid w:val="20850FF5"/>
    <w:rsid w:val="20933D8F"/>
    <w:rsid w:val="20B31314"/>
    <w:rsid w:val="20B654AE"/>
    <w:rsid w:val="21014C39"/>
    <w:rsid w:val="2121345D"/>
    <w:rsid w:val="21244EB1"/>
    <w:rsid w:val="2128287D"/>
    <w:rsid w:val="213964D8"/>
    <w:rsid w:val="21595D04"/>
    <w:rsid w:val="21D1687F"/>
    <w:rsid w:val="21F13629"/>
    <w:rsid w:val="22196BB4"/>
    <w:rsid w:val="2305377E"/>
    <w:rsid w:val="2333702C"/>
    <w:rsid w:val="234D6FD6"/>
    <w:rsid w:val="23522F16"/>
    <w:rsid w:val="2389576F"/>
    <w:rsid w:val="240153F9"/>
    <w:rsid w:val="24122135"/>
    <w:rsid w:val="2449719C"/>
    <w:rsid w:val="245B25BF"/>
    <w:rsid w:val="24B5474D"/>
    <w:rsid w:val="24D4257E"/>
    <w:rsid w:val="252169A5"/>
    <w:rsid w:val="25403F3C"/>
    <w:rsid w:val="25490B44"/>
    <w:rsid w:val="2572202B"/>
    <w:rsid w:val="258D4E7D"/>
    <w:rsid w:val="25AB1CB6"/>
    <w:rsid w:val="25E841E6"/>
    <w:rsid w:val="2605683C"/>
    <w:rsid w:val="267E3A44"/>
    <w:rsid w:val="268D4D52"/>
    <w:rsid w:val="269452A9"/>
    <w:rsid w:val="26BB1419"/>
    <w:rsid w:val="26CD272A"/>
    <w:rsid w:val="27113863"/>
    <w:rsid w:val="276457A5"/>
    <w:rsid w:val="27B748AA"/>
    <w:rsid w:val="27C05389"/>
    <w:rsid w:val="27CB4CB9"/>
    <w:rsid w:val="281C2F58"/>
    <w:rsid w:val="28455DD9"/>
    <w:rsid w:val="288408D1"/>
    <w:rsid w:val="29642C4B"/>
    <w:rsid w:val="296569C3"/>
    <w:rsid w:val="299365DC"/>
    <w:rsid w:val="2A2655A3"/>
    <w:rsid w:val="2A2C6E38"/>
    <w:rsid w:val="2A34628C"/>
    <w:rsid w:val="2A724D05"/>
    <w:rsid w:val="2A7E505C"/>
    <w:rsid w:val="2AC85686"/>
    <w:rsid w:val="2AD04B5F"/>
    <w:rsid w:val="2AF821D7"/>
    <w:rsid w:val="2AFF50D8"/>
    <w:rsid w:val="2B2B3C4D"/>
    <w:rsid w:val="2B311294"/>
    <w:rsid w:val="2B457EC9"/>
    <w:rsid w:val="2B4B5EE6"/>
    <w:rsid w:val="2B502806"/>
    <w:rsid w:val="2B7948F6"/>
    <w:rsid w:val="2BC05B2C"/>
    <w:rsid w:val="2BD200F8"/>
    <w:rsid w:val="2BD617C5"/>
    <w:rsid w:val="2BDB15FD"/>
    <w:rsid w:val="2C112837"/>
    <w:rsid w:val="2C69716D"/>
    <w:rsid w:val="2CAE0227"/>
    <w:rsid w:val="2CB80480"/>
    <w:rsid w:val="2E014790"/>
    <w:rsid w:val="2E082A14"/>
    <w:rsid w:val="2E3E07A9"/>
    <w:rsid w:val="2E401305"/>
    <w:rsid w:val="2E731B6B"/>
    <w:rsid w:val="2E932654"/>
    <w:rsid w:val="2E960366"/>
    <w:rsid w:val="2ECF4508"/>
    <w:rsid w:val="2EE77680"/>
    <w:rsid w:val="2F2F0FC8"/>
    <w:rsid w:val="2F384495"/>
    <w:rsid w:val="2F755F6A"/>
    <w:rsid w:val="2F942988"/>
    <w:rsid w:val="301C6BB6"/>
    <w:rsid w:val="30243A32"/>
    <w:rsid w:val="3049104D"/>
    <w:rsid w:val="30571E20"/>
    <w:rsid w:val="30856C05"/>
    <w:rsid w:val="30D27EA6"/>
    <w:rsid w:val="319708F2"/>
    <w:rsid w:val="31B14C9E"/>
    <w:rsid w:val="327B177A"/>
    <w:rsid w:val="32C33924"/>
    <w:rsid w:val="32E32D84"/>
    <w:rsid w:val="33C522D7"/>
    <w:rsid w:val="3429164D"/>
    <w:rsid w:val="344C4B30"/>
    <w:rsid w:val="34807672"/>
    <w:rsid w:val="34921EC4"/>
    <w:rsid w:val="34A71EFE"/>
    <w:rsid w:val="34A82967"/>
    <w:rsid w:val="34E80126"/>
    <w:rsid w:val="35AD79FC"/>
    <w:rsid w:val="35B06C6A"/>
    <w:rsid w:val="362A0EA8"/>
    <w:rsid w:val="368F3962"/>
    <w:rsid w:val="36941AA2"/>
    <w:rsid w:val="36D17C2F"/>
    <w:rsid w:val="36D37423"/>
    <w:rsid w:val="36D6243D"/>
    <w:rsid w:val="379D23F9"/>
    <w:rsid w:val="37AB4FA6"/>
    <w:rsid w:val="38610B78"/>
    <w:rsid w:val="389D4970"/>
    <w:rsid w:val="394C72B7"/>
    <w:rsid w:val="3A185287"/>
    <w:rsid w:val="3A1F46B8"/>
    <w:rsid w:val="3A692CD0"/>
    <w:rsid w:val="3A8B0918"/>
    <w:rsid w:val="3A92352C"/>
    <w:rsid w:val="3B270929"/>
    <w:rsid w:val="3B3D5571"/>
    <w:rsid w:val="3B577C68"/>
    <w:rsid w:val="3B673620"/>
    <w:rsid w:val="3B9A1F29"/>
    <w:rsid w:val="3CA30F83"/>
    <w:rsid w:val="3CAB5723"/>
    <w:rsid w:val="3CE4646B"/>
    <w:rsid w:val="3D1737C4"/>
    <w:rsid w:val="3D300544"/>
    <w:rsid w:val="3D4315FC"/>
    <w:rsid w:val="3D5E7AA8"/>
    <w:rsid w:val="3D6F2596"/>
    <w:rsid w:val="3DBB5A99"/>
    <w:rsid w:val="3F836EE6"/>
    <w:rsid w:val="3F8B2AF0"/>
    <w:rsid w:val="405F175E"/>
    <w:rsid w:val="408F67FC"/>
    <w:rsid w:val="40BD1A2F"/>
    <w:rsid w:val="40C765F3"/>
    <w:rsid w:val="40D24336"/>
    <w:rsid w:val="416432B5"/>
    <w:rsid w:val="41903325"/>
    <w:rsid w:val="41A2534B"/>
    <w:rsid w:val="41C3545E"/>
    <w:rsid w:val="42500573"/>
    <w:rsid w:val="42F869D2"/>
    <w:rsid w:val="43061D16"/>
    <w:rsid w:val="43285B25"/>
    <w:rsid w:val="43553536"/>
    <w:rsid w:val="43914E6B"/>
    <w:rsid w:val="443A3304"/>
    <w:rsid w:val="443D14D0"/>
    <w:rsid w:val="448E2588"/>
    <w:rsid w:val="44911928"/>
    <w:rsid w:val="44961776"/>
    <w:rsid w:val="44972678"/>
    <w:rsid w:val="44BF6E7D"/>
    <w:rsid w:val="44E85A06"/>
    <w:rsid w:val="451632B9"/>
    <w:rsid w:val="45485273"/>
    <w:rsid w:val="4566717F"/>
    <w:rsid w:val="457B4C4B"/>
    <w:rsid w:val="458F0087"/>
    <w:rsid w:val="45906394"/>
    <w:rsid w:val="45E4124E"/>
    <w:rsid w:val="45F60A50"/>
    <w:rsid w:val="46142D0C"/>
    <w:rsid w:val="46773D09"/>
    <w:rsid w:val="46923526"/>
    <w:rsid w:val="46970A81"/>
    <w:rsid w:val="4697115A"/>
    <w:rsid w:val="46B036BF"/>
    <w:rsid w:val="471E7E6C"/>
    <w:rsid w:val="47282363"/>
    <w:rsid w:val="47701BD2"/>
    <w:rsid w:val="482E2EBF"/>
    <w:rsid w:val="48346B27"/>
    <w:rsid w:val="48377D9E"/>
    <w:rsid w:val="48FC12CE"/>
    <w:rsid w:val="493D3211"/>
    <w:rsid w:val="494010B3"/>
    <w:rsid w:val="49464E7D"/>
    <w:rsid w:val="49BB6774"/>
    <w:rsid w:val="49DC4EAC"/>
    <w:rsid w:val="49E55BC5"/>
    <w:rsid w:val="4A170D67"/>
    <w:rsid w:val="4A2E4752"/>
    <w:rsid w:val="4A314393"/>
    <w:rsid w:val="4A502337"/>
    <w:rsid w:val="4B017C80"/>
    <w:rsid w:val="4B5C6CFE"/>
    <w:rsid w:val="4BD16360"/>
    <w:rsid w:val="4BEE6F15"/>
    <w:rsid w:val="4BF24EEB"/>
    <w:rsid w:val="4C1C63D6"/>
    <w:rsid w:val="4C864A35"/>
    <w:rsid w:val="4CD61886"/>
    <w:rsid w:val="4D167DF7"/>
    <w:rsid w:val="4D4846AB"/>
    <w:rsid w:val="4DE62613"/>
    <w:rsid w:val="4E015C76"/>
    <w:rsid w:val="4E0A74EB"/>
    <w:rsid w:val="4E310026"/>
    <w:rsid w:val="4E4A2325"/>
    <w:rsid w:val="4ED56361"/>
    <w:rsid w:val="4EDB4B65"/>
    <w:rsid w:val="4EEE4C05"/>
    <w:rsid w:val="4F5C5331"/>
    <w:rsid w:val="501A6C55"/>
    <w:rsid w:val="504338E1"/>
    <w:rsid w:val="505E1A7C"/>
    <w:rsid w:val="50DD750F"/>
    <w:rsid w:val="51B14BED"/>
    <w:rsid w:val="51CB19F2"/>
    <w:rsid w:val="51F437A2"/>
    <w:rsid w:val="523522B3"/>
    <w:rsid w:val="52526454"/>
    <w:rsid w:val="525C1CEF"/>
    <w:rsid w:val="528B5767"/>
    <w:rsid w:val="52D33625"/>
    <w:rsid w:val="52E34B8A"/>
    <w:rsid w:val="537958C3"/>
    <w:rsid w:val="53A3105E"/>
    <w:rsid w:val="53C64B93"/>
    <w:rsid w:val="54051FE4"/>
    <w:rsid w:val="540678E0"/>
    <w:rsid w:val="54283FDA"/>
    <w:rsid w:val="54564E31"/>
    <w:rsid w:val="548A6C60"/>
    <w:rsid w:val="55B1164D"/>
    <w:rsid w:val="55B4735E"/>
    <w:rsid w:val="55BB221D"/>
    <w:rsid w:val="55F52EA4"/>
    <w:rsid w:val="560E0F60"/>
    <w:rsid w:val="56371459"/>
    <w:rsid w:val="56484633"/>
    <w:rsid w:val="56E22593"/>
    <w:rsid w:val="56EB0283"/>
    <w:rsid w:val="5708349C"/>
    <w:rsid w:val="573826DD"/>
    <w:rsid w:val="58555010"/>
    <w:rsid w:val="588147F2"/>
    <w:rsid w:val="58D0053D"/>
    <w:rsid w:val="590B596B"/>
    <w:rsid w:val="5953384B"/>
    <w:rsid w:val="598C40A0"/>
    <w:rsid w:val="59935EC3"/>
    <w:rsid w:val="59BE616D"/>
    <w:rsid w:val="59DA647E"/>
    <w:rsid w:val="5A556E1A"/>
    <w:rsid w:val="5A7649FC"/>
    <w:rsid w:val="5AD01678"/>
    <w:rsid w:val="5B583B1B"/>
    <w:rsid w:val="5B8F064C"/>
    <w:rsid w:val="5BB2626A"/>
    <w:rsid w:val="5BF6112C"/>
    <w:rsid w:val="5C4D5258"/>
    <w:rsid w:val="5C876D53"/>
    <w:rsid w:val="5CA427FE"/>
    <w:rsid w:val="5CDE432F"/>
    <w:rsid w:val="5D392BBD"/>
    <w:rsid w:val="5D671DA2"/>
    <w:rsid w:val="5DDC6599"/>
    <w:rsid w:val="5E2864D0"/>
    <w:rsid w:val="5E2A1A3D"/>
    <w:rsid w:val="5E38414F"/>
    <w:rsid w:val="5E494511"/>
    <w:rsid w:val="5E8D725A"/>
    <w:rsid w:val="5EB44FC0"/>
    <w:rsid w:val="5FA4358E"/>
    <w:rsid w:val="5FBA395F"/>
    <w:rsid w:val="60EC2CBA"/>
    <w:rsid w:val="61442C0D"/>
    <w:rsid w:val="615E6B53"/>
    <w:rsid w:val="617E527E"/>
    <w:rsid w:val="61CC2D28"/>
    <w:rsid w:val="61F14827"/>
    <w:rsid w:val="622409B3"/>
    <w:rsid w:val="62296DAB"/>
    <w:rsid w:val="62AB695F"/>
    <w:rsid w:val="62F766B1"/>
    <w:rsid w:val="6305029D"/>
    <w:rsid w:val="632E2686"/>
    <w:rsid w:val="63415308"/>
    <w:rsid w:val="635902CD"/>
    <w:rsid w:val="635E6E54"/>
    <w:rsid w:val="640111D3"/>
    <w:rsid w:val="6453068A"/>
    <w:rsid w:val="64706BBE"/>
    <w:rsid w:val="647235D4"/>
    <w:rsid w:val="64BE6D26"/>
    <w:rsid w:val="64F02CA7"/>
    <w:rsid w:val="64F2095B"/>
    <w:rsid w:val="659E5E96"/>
    <w:rsid w:val="65AE16A6"/>
    <w:rsid w:val="65B6141B"/>
    <w:rsid w:val="65C17F1F"/>
    <w:rsid w:val="65C814E8"/>
    <w:rsid w:val="66113FAB"/>
    <w:rsid w:val="673945B0"/>
    <w:rsid w:val="674279DC"/>
    <w:rsid w:val="676A4DBB"/>
    <w:rsid w:val="67A858DB"/>
    <w:rsid w:val="67FB6FEA"/>
    <w:rsid w:val="67FE4166"/>
    <w:rsid w:val="685F373C"/>
    <w:rsid w:val="68B86F93"/>
    <w:rsid w:val="68C401C3"/>
    <w:rsid w:val="68EF121D"/>
    <w:rsid w:val="6911679D"/>
    <w:rsid w:val="6942220A"/>
    <w:rsid w:val="69A833BD"/>
    <w:rsid w:val="69F4408A"/>
    <w:rsid w:val="69FC3483"/>
    <w:rsid w:val="6A1E25AA"/>
    <w:rsid w:val="6AA145C5"/>
    <w:rsid w:val="6AB215EC"/>
    <w:rsid w:val="6ABF10D3"/>
    <w:rsid w:val="6AC77930"/>
    <w:rsid w:val="6AD03222"/>
    <w:rsid w:val="6BA62550"/>
    <w:rsid w:val="6BCB2EC8"/>
    <w:rsid w:val="6C126A8E"/>
    <w:rsid w:val="6C5959EE"/>
    <w:rsid w:val="6C681E3D"/>
    <w:rsid w:val="6C7172AA"/>
    <w:rsid w:val="6CC34D51"/>
    <w:rsid w:val="6CC736CE"/>
    <w:rsid w:val="6CE16D19"/>
    <w:rsid w:val="6D566F0F"/>
    <w:rsid w:val="6D836F72"/>
    <w:rsid w:val="6D944C6F"/>
    <w:rsid w:val="6DA200E2"/>
    <w:rsid w:val="6DDE3DAF"/>
    <w:rsid w:val="6E17316D"/>
    <w:rsid w:val="6E3241BE"/>
    <w:rsid w:val="6E410A48"/>
    <w:rsid w:val="6EB97A9D"/>
    <w:rsid w:val="6EBE48B8"/>
    <w:rsid w:val="6EF10A90"/>
    <w:rsid w:val="6EF77781"/>
    <w:rsid w:val="6F7F3578"/>
    <w:rsid w:val="6FF86D3D"/>
    <w:rsid w:val="6FFF1868"/>
    <w:rsid w:val="6FFF5012"/>
    <w:rsid w:val="70BA3065"/>
    <w:rsid w:val="715F4C2D"/>
    <w:rsid w:val="722F78FB"/>
    <w:rsid w:val="723D67C5"/>
    <w:rsid w:val="72BB13CA"/>
    <w:rsid w:val="72BF60CA"/>
    <w:rsid w:val="72F407E5"/>
    <w:rsid w:val="72F41282"/>
    <w:rsid w:val="7315732A"/>
    <w:rsid w:val="733D0D32"/>
    <w:rsid w:val="734D6E7B"/>
    <w:rsid w:val="73D411F1"/>
    <w:rsid w:val="74707EF3"/>
    <w:rsid w:val="74E343E2"/>
    <w:rsid w:val="753643C5"/>
    <w:rsid w:val="753811DE"/>
    <w:rsid w:val="75A84280"/>
    <w:rsid w:val="75BE67D4"/>
    <w:rsid w:val="75BF5E46"/>
    <w:rsid w:val="75C2004C"/>
    <w:rsid w:val="75C759C1"/>
    <w:rsid w:val="762D64F3"/>
    <w:rsid w:val="763C7B5C"/>
    <w:rsid w:val="766B63D6"/>
    <w:rsid w:val="767E7EFF"/>
    <w:rsid w:val="76B74C4A"/>
    <w:rsid w:val="775B4604"/>
    <w:rsid w:val="77915630"/>
    <w:rsid w:val="77C067C3"/>
    <w:rsid w:val="783F569F"/>
    <w:rsid w:val="78911E31"/>
    <w:rsid w:val="78972821"/>
    <w:rsid w:val="78C135CF"/>
    <w:rsid w:val="78C4151D"/>
    <w:rsid w:val="7922350F"/>
    <w:rsid w:val="792B5470"/>
    <w:rsid w:val="793A44B1"/>
    <w:rsid w:val="79D36CF1"/>
    <w:rsid w:val="7A9367CB"/>
    <w:rsid w:val="7AC62F94"/>
    <w:rsid w:val="7AF22571"/>
    <w:rsid w:val="7B69224B"/>
    <w:rsid w:val="7B6A22B8"/>
    <w:rsid w:val="7BE80F25"/>
    <w:rsid w:val="7C1C35A7"/>
    <w:rsid w:val="7C2A2E20"/>
    <w:rsid w:val="7C45431D"/>
    <w:rsid w:val="7C734B44"/>
    <w:rsid w:val="7CA87C8D"/>
    <w:rsid w:val="7CCF289A"/>
    <w:rsid w:val="7D1431D0"/>
    <w:rsid w:val="7D3219D5"/>
    <w:rsid w:val="7DC023D8"/>
    <w:rsid w:val="7DDD0501"/>
    <w:rsid w:val="7DE51372"/>
    <w:rsid w:val="7DFF100D"/>
    <w:rsid w:val="7E0D518D"/>
    <w:rsid w:val="7E5E590F"/>
    <w:rsid w:val="7E8E25ED"/>
    <w:rsid w:val="7E935AFB"/>
    <w:rsid w:val="7EB130F9"/>
    <w:rsid w:val="7EC231A5"/>
    <w:rsid w:val="7ECE38F6"/>
    <w:rsid w:val="7EE051EC"/>
    <w:rsid w:val="7F4C7A89"/>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6"/>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7"/>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3"/>
    <w:unhideWhenUsed/>
    <w:qFormat/>
    <w:uiPriority w:val="9"/>
    <w:pPr>
      <w:keepNext/>
      <w:keepLines/>
      <w:spacing w:before="260" w:after="260" w:line="416" w:lineRule="auto"/>
      <w:outlineLvl w:val="2"/>
    </w:pPr>
    <w:rPr>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List 3"/>
    <w:basedOn w:val="6"/>
    <w:semiHidden/>
    <w:unhideWhenUsed/>
    <w:qFormat/>
    <w:uiPriority w:val="99"/>
    <w:pPr>
      <w:ind w:left="100" w:leftChars="400" w:hanging="200" w:hangingChars="200"/>
      <w:contextualSpacing/>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3"/>
    <w:semiHidden/>
    <w:unhideWhenUsed/>
    <w:qFormat/>
    <w:uiPriority w:val="99"/>
    <w:rPr>
      <w:rFonts w:ascii="宋体" w:eastAsia="宋体"/>
      <w:sz w:val="18"/>
      <w:szCs w:val="18"/>
    </w:rPr>
  </w:style>
  <w:style w:type="paragraph" w:styleId="10">
    <w:name w:val="annotation text"/>
    <w:basedOn w:val="1"/>
    <w:link w:val="65"/>
    <w:semiHidden/>
    <w:unhideWhenUsed/>
    <w:qFormat/>
    <w:uiPriority w:val="0"/>
  </w:style>
  <w:style w:type="paragraph" w:styleId="11">
    <w:name w:val="Body Text"/>
    <w:basedOn w:val="1"/>
    <w:link w:val="28"/>
    <w:qFormat/>
    <w:uiPriority w:val="0"/>
    <w:pPr>
      <w:spacing w:after="120"/>
      <w:jc w:val="both"/>
    </w:pPr>
    <w:rPr>
      <w:rFonts w:eastAsia="MS Mincho"/>
      <w:lang w:val="zh-CN"/>
    </w:rPr>
  </w:style>
  <w:style w:type="paragraph" w:styleId="12">
    <w:name w:val="Date"/>
    <w:basedOn w:val="1"/>
    <w:next w:val="1"/>
    <w:link w:val="50"/>
    <w:semiHidden/>
    <w:unhideWhenUsed/>
    <w:qFormat/>
    <w:uiPriority w:val="99"/>
    <w:pPr>
      <w:ind w:left="100" w:leftChars="2500"/>
    </w:pPr>
  </w:style>
  <w:style w:type="paragraph" w:styleId="13">
    <w:name w:val="Balloon Text"/>
    <w:basedOn w:val="1"/>
    <w:link w:val="25"/>
    <w:semiHidden/>
    <w:unhideWhenUsed/>
    <w:qFormat/>
    <w:uiPriority w:val="99"/>
    <w:rPr>
      <w:sz w:val="18"/>
      <w:szCs w:val="18"/>
      <w:lang w:val="zh-CN"/>
    </w:rPr>
  </w:style>
  <w:style w:type="paragraph" w:styleId="14">
    <w:name w:val="footer"/>
    <w:basedOn w:val="1"/>
    <w:link w:val="31"/>
    <w:unhideWhenUsed/>
    <w:qFormat/>
    <w:uiPriority w:val="99"/>
    <w:pPr>
      <w:tabs>
        <w:tab w:val="center" w:pos="4153"/>
        <w:tab w:val="right" w:pos="8306"/>
      </w:tabs>
      <w:snapToGrid w:val="0"/>
    </w:pPr>
    <w:rPr>
      <w:sz w:val="18"/>
      <w:szCs w:val="18"/>
      <w:lang w:val="zh-CN"/>
    </w:rPr>
  </w:style>
  <w:style w:type="paragraph" w:styleId="15">
    <w:name w:val="header"/>
    <w:basedOn w:val="1"/>
    <w:link w:val="29"/>
    <w:qFormat/>
    <w:uiPriority w:val="0"/>
    <w:pPr>
      <w:tabs>
        <w:tab w:val="center" w:pos="4536"/>
        <w:tab w:val="right" w:pos="9072"/>
      </w:tabs>
    </w:pPr>
    <w:rPr>
      <w:rFonts w:ascii="Arial" w:hAnsi="Arial" w:eastAsia="MS Mincho"/>
      <w:b/>
      <w:lang w:val="zh-CN"/>
    </w:rPr>
  </w:style>
  <w:style w:type="paragraph" w:styleId="16">
    <w:name w:val="List 4"/>
    <w:basedOn w:val="5"/>
    <w:qFormat/>
    <w:uiPriority w:val="0"/>
    <w:pPr>
      <w:ind w:left="1418"/>
    </w:p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annotation subject"/>
    <w:basedOn w:val="10"/>
    <w:next w:val="10"/>
    <w:link w:val="66"/>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批注框文本 字符"/>
    <w:link w:val="13"/>
    <w:semiHidden/>
    <w:qFormat/>
    <w:uiPriority w:val="99"/>
    <w:rPr>
      <w:rFonts w:ascii="Times New Roman" w:hAnsi="Times New Roman" w:eastAsia="Times New Roman" w:cs="Times New Roman"/>
      <w:kern w:val="0"/>
      <w:sz w:val="18"/>
      <w:szCs w:val="18"/>
      <w:lang w:eastAsia="en-US"/>
    </w:rPr>
  </w:style>
  <w:style w:type="character" w:customStyle="1" w:styleId="26">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7">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8">
    <w:name w:val="正文文本 字符"/>
    <w:link w:val="11"/>
    <w:qFormat/>
    <w:uiPriority w:val="0"/>
    <w:rPr>
      <w:rFonts w:ascii="Times New Roman" w:hAnsi="Times New Roman" w:eastAsia="MS Mincho" w:cs="Times New Roman"/>
      <w:kern w:val="0"/>
      <w:sz w:val="20"/>
      <w:szCs w:val="24"/>
      <w:lang w:val="zh-CN" w:eastAsia="en-US"/>
    </w:rPr>
  </w:style>
  <w:style w:type="character" w:customStyle="1" w:styleId="29">
    <w:name w:val="页眉 字符"/>
    <w:link w:val="15"/>
    <w:qFormat/>
    <w:uiPriority w:val="0"/>
    <w:rPr>
      <w:rFonts w:ascii="Arial" w:hAnsi="Arial" w:eastAsia="MS Mincho" w:cs="Times New Roman"/>
      <w:b/>
      <w:kern w:val="0"/>
      <w:sz w:val="20"/>
      <w:szCs w:val="24"/>
      <w:lang w:val="zh-CN" w:eastAsia="en-US"/>
    </w:rPr>
  </w:style>
  <w:style w:type="paragraph" w:customStyle="1" w:styleId="30">
    <w:name w:val="Paragraphe de liste"/>
    <w:basedOn w:val="1"/>
    <w:qFormat/>
    <w:uiPriority w:val="34"/>
    <w:pPr>
      <w:ind w:left="720"/>
    </w:pPr>
    <w:rPr>
      <w:rFonts w:eastAsia="宋体"/>
      <w:sz w:val="24"/>
      <w:lang w:val="fr-FR" w:eastAsia="zh-CN"/>
    </w:rPr>
  </w:style>
  <w:style w:type="character" w:customStyle="1" w:styleId="31">
    <w:name w:val="页脚 字符"/>
    <w:link w:val="14"/>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文档结构图 字符"/>
    <w:link w:val="9"/>
    <w:semiHidden/>
    <w:qFormat/>
    <w:uiPriority w:val="99"/>
    <w:rPr>
      <w:rFonts w:ascii="宋体" w:hAnsi="Times New Roman"/>
      <w:sz w:val="18"/>
      <w:szCs w:val="18"/>
      <w:lang w:eastAsia="en-US"/>
    </w:rPr>
  </w:style>
  <w:style w:type="paragraph" w:customStyle="1" w:styleId="34">
    <w:name w:val="B1"/>
    <w:basedOn w:val="7"/>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jc w:val="center"/>
    </w:pPr>
    <w:rPr>
      <w:lang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8"/>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列表段落 字符"/>
    <w:link w:val="32"/>
    <w:qFormat/>
    <w:uiPriority w:val="34"/>
    <w:rPr>
      <w:kern w:val="2"/>
      <w:sz w:val="21"/>
      <w:szCs w:val="22"/>
    </w:rPr>
  </w:style>
  <w:style w:type="character" w:customStyle="1" w:styleId="49">
    <w:name w:val="ZGSM"/>
    <w:qFormat/>
    <w:uiPriority w:val="0"/>
  </w:style>
  <w:style w:type="character" w:customStyle="1" w:styleId="50">
    <w:name w:val="日期 字符"/>
    <w:link w:val="12"/>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标题 3 字符"/>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1"/>
    <w:qFormat/>
    <w:uiPriority w:val="0"/>
  </w:style>
  <w:style w:type="character" w:customStyle="1" w:styleId="58">
    <w:name w:val="eop"/>
    <w:basedOn w:val="21"/>
    <w:qFormat/>
    <w:uiPriority w:val="0"/>
  </w:style>
  <w:style w:type="paragraph" w:customStyle="1" w:styleId="59">
    <w:name w:val="paragraph"/>
    <w:basedOn w:val="1"/>
    <w:qFormat/>
    <w:uiPriority w:val="0"/>
    <w:pPr>
      <w:spacing w:before="100" w:beforeAutospacing="1" w:after="100" w:afterAutospacing="1"/>
    </w:pPr>
    <w:rPr>
      <w:sz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B2"/>
    <w:basedOn w:val="6"/>
    <w:qFormat/>
    <w:uiPriority w:val="0"/>
  </w:style>
  <w:style w:type="paragraph" w:customStyle="1" w:styleId="62">
    <w:name w:val="B3"/>
    <w:basedOn w:val="5"/>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 w:type="paragraph" w:customStyle="1" w:styleId="63">
    <w:name w:val="References"/>
    <w:basedOn w:val="1"/>
    <w:qFormat/>
    <w:uiPriority w:val="0"/>
    <w:pPr>
      <w:snapToGrid w:val="0"/>
      <w:spacing w:after="60"/>
      <w:jc w:val="both"/>
    </w:pPr>
    <w:rPr>
      <w:szCs w:val="16"/>
    </w:rPr>
  </w:style>
  <w:style w:type="paragraph" w:customStyle="1" w:styleId="64">
    <w:name w:val="B4"/>
    <w:basedOn w:val="16"/>
    <w:qFormat/>
    <w:uiPriority w:val="0"/>
  </w:style>
  <w:style w:type="character" w:customStyle="1" w:styleId="65">
    <w:name w:val="批注文字 字符"/>
    <w:basedOn w:val="21"/>
    <w:link w:val="10"/>
    <w:semiHidden/>
    <w:qFormat/>
    <w:uiPriority w:val="0"/>
    <w:rPr>
      <w:rFonts w:eastAsia="Times New Roman"/>
      <w:szCs w:val="24"/>
      <w:lang w:eastAsia="en-US"/>
    </w:rPr>
  </w:style>
  <w:style w:type="character" w:customStyle="1" w:styleId="66">
    <w:name w:val="批注主题 字符"/>
    <w:basedOn w:val="65"/>
    <w:link w:val="18"/>
    <w:semiHidden/>
    <w:qFormat/>
    <w:uiPriority w:val="99"/>
    <w:rPr>
      <w:rFonts w:eastAsia="Times New Roman"/>
      <w:b/>
      <w:bCs/>
      <w:szCs w:val="24"/>
      <w:lang w:eastAsia="en-US"/>
    </w:rPr>
  </w:style>
  <w:style w:type="paragraph" w:customStyle="1" w:styleId="67">
    <w:name w:val="YJ-Proposal"/>
    <w:basedOn w:val="1"/>
    <w:qFormat/>
    <w:uiPriority w:val="0"/>
    <w:pPr>
      <w:numPr>
        <w:ilvl w:val="0"/>
        <w:numId w:val="3"/>
      </w:numPr>
      <w:tabs>
        <w:tab w:val="left" w:pos="0"/>
      </w:tabs>
    </w:pPr>
    <w:rPr>
      <w:rFonts w:eastAsiaTheme="minorEastAsia"/>
      <w:b/>
      <w:bCs/>
      <w:szCs w:val="21"/>
      <w:lang w:val="en-GB" w:eastAsia="en-US"/>
    </w:rPr>
  </w:style>
  <w:style w:type="paragraph" w:customStyle="1" w:styleId="68">
    <w:name w:val="Char"/>
    <w:basedOn w:val="32"/>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23824-850A-45B5-BCEF-EAF62F594BF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3382</Words>
  <Characters>19281</Characters>
  <Lines>160</Lines>
  <Paragraphs>45</Paragraphs>
  <TotalTime>0</TotalTime>
  <ScaleCrop>false</ScaleCrop>
  <LinksUpToDate>false</LinksUpToDate>
  <CharactersWithSpaces>22618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2023-04-10T14:33:00Z</dcterms:created>
  <dc:creator>Aijun CAO</dc:creator>
  <cp:lastModifiedBy>ZTE</cp:lastModifiedBy>
  <cp:lastPrinted>2015-02-02T11:17:00Z</cp:lastPrinted>
  <dcterms:modified xsi:type="dcterms:W3CDTF">2024-08-09T15:49:17Z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08732BBF27724C5BA26F60B62337106C</vt:lpwstr>
  </property>
</Properties>
</file>